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173"/>
        <w:jc w:val="center"/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DOCUMENTO UNICO DI VALUTAZIONE DEI RISCHI </w:t>
      </w:r>
      <w:r w:rsidR="00C35705" w:rsidRPr="005B3ABF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STANDARD</w:t>
      </w:r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 PER IL SERVIZIO DI STIVAGGIO E STOCCAGGIO MERCI, ACCESSORIO ALL’ACQUISIZIONE DI FORNITURE DI</w:t>
      </w:r>
    </w:p>
    <w:p w:rsidR="00A66069" w:rsidRPr="004B0A47" w:rsidRDefault="00A66069" w:rsidP="00E563E2">
      <w:pPr>
        <w:widowControl w:val="0"/>
        <w:autoSpaceDE w:val="0"/>
        <w:autoSpaceDN w:val="0"/>
        <w:adjustRightInd w:val="0"/>
        <w:spacing w:after="0" w:line="326" w:lineRule="exact"/>
        <w:ind w:right="173"/>
        <w:jc w:val="center"/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</w:pPr>
      <w:r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>VESTIARIO</w:t>
      </w:r>
      <w:r w:rsidR="00E806B4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>,</w:t>
      </w:r>
      <w:r w:rsidR="004B0A47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 xml:space="preserve"> </w:t>
      </w:r>
      <w:r w:rsidR="00D64631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 xml:space="preserve"> E TENDE</w:t>
      </w:r>
      <w:r w:rsidR="00832180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 xml:space="preserve"> </w:t>
      </w:r>
      <w:r w:rsidR="00E806B4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>FORZE</w:t>
      </w:r>
      <w:r w:rsidR="00832180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 xml:space="preserve"> ARMAT</w:t>
      </w:r>
      <w:r w:rsidR="00E563E2"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>E</w:t>
      </w:r>
      <w:r w:rsidR="00E806B4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 xml:space="preserve"> 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480" w:line="326" w:lineRule="exact"/>
        <w:ind w:right="176"/>
        <w:jc w:val="center"/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(</w:t>
      </w:r>
      <w:proofErr w:type="gramStart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redatto</w:t>
      </w:r>
      <w:proofErr w:type="gramEnd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 ai sensi dell’art. 26 </w:t>
      </w:r>
      <w:proofErr w:type="spellStart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d.lgs</w:t>
      </w:r>
      <w:proofErr w:type="spellEnd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 9 aprile 2008, n. 81)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1. Premessa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4944"/>
        </w:tabs>
        <w:autoSpaceDE w:val="0"/>
        <w:autoSpaceDN w:val="0"/>
        <w:adjustRightInd w:val="0"/>
        <w:spacing w:after="0" w:line="322" w:lineRule="exact"/>
        <w:ind w:left="6" w:right="3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Con il presente atto si è inteso, in primo luogo, predisporre il massimario delle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misure preventive con le quali questa Direzione Generale di Commissariato e dei Servizi Generali ritiene di dover fronteggiare, ex-ante il loro verificarsi, le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criticità ed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i rischi, per i dipendenti dell’A.D., discendenti dalle attività di stivaggio e di stoccaggio dei materiali </w:t>
      </w:r>
      <w:r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di vestiario</w:t>
      </w:r>
      <w:r w:rsidR="00E806B4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,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</w:t>
      </w:r>
      <w:r w:rsidR="001A5A13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e tende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</w:t>
      </w:r>
      <w:r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che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l’impresa/R.T.I. fornitrice, in aggiunta all’obbligazione precipua della fornitura,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porrà in essere in esecuzione dell’obbligazione accessoria connessa al rapporto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lang w:eastAsia="it-IT"/>
        </w:rPr>
        <w:t>giuridico contrattuale in argomento.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3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Per l'inciso, le misure di protezione de </w:t>
      </w:r>
      <w:proofErr w:type="spellStart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quibus</w:t>
      </w:r>
      <w:proofErr w:type="spellEnd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 mirano alla tutela dei Lavoratori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(nell'ampia accezione di dipendenti civili e militari d'ogni ordine, grado e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qualifica) operanti presso i Centri di rifornimento, i Depositi ed i Magazzini delle FF.AA. (cioè Enti e sedi dell'A.D. ove avverranno le operazioni di introduzione e di sistemazione dei materiali oggetto della fornitura) rispetto ai c.d. "danni da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interferenza" originabili in conseguenza delle possibili azioni, omissioni,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errori, ecc., che porrà in essere la Fornitrice (e/o le sue Raggruppate), per il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tramite dei suoi dipendenti, nel corso dell'attività esplicitante il servizio complementare cui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la stessa è obbligata verso l'A.D..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Fuori dall'ambito applicativo del presente documento di valutazione restano i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possibili danni da interferenza che possono ben anche essere causati dai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dipendenti dell'A.D. (nell'ampia accezione di cui sopra), nell'espletamento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delle loro funzioni, ai Lavoratori dell’impresa/R.T.I.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Il presente documento, include:</w:t>
      </w:r>
    </w:p>
    <w:p w:rsidR="00A66069" w:rsidRPr="00A66069" w:rsidRDefault="00A66069" w:rsidP="00A66069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>la</w:t>
      </w:r>
      <w:proofErr w:type="gram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valutazione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(anche quantitativo - numeraria)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dei rischi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per il Personale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>dell'A.D. quali cagionabili dalla Privata assuntrice nel corso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dell'erogazione del servizio appaltato;</w:t>
      </w:r>
    </w:p>
    <w:p w:rsidR="00A66069" w:rsidRPr="00A66069" w:rsidRDefault="00A66069" w:rsidP="00A66069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</w:t>
      </w:r>
      <w:proofErr w:type="gramEnd"/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connessa realizzazione del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piano di gestione delle emergenze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con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annessa </w:t>
      </w:r>
      <w:proofErr w:type="spell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chek</w:t>
      </w:r>
      <w:proofErr w:type="spell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 list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protesa a dare evidenza della misurazione dei rischi e dei pericoli (per i dipendenti dell'A.D.) "da interferenza", per l'appunto,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quali discendenti dalle attività sussidiarie del Fornitore.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1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Il presente D.U.V.R.I. contiene, quindi, le principali informazioni/prescrizioni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in materia di sicurezza per fornire all'impresa/R.T.I. una prima serie di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dati di conoscenza - e di vincoli - sui rischi specifici esistenti nell'ambiente in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cui è destinata ad operare e sulle misure di prevenzione e di emergenza adottate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in relazione alla propria attività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in ottemperanza all'art. 26/1 </w:t>
      </w:r>
      <w:proofErr w:type="spell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lett</w:t>
      </w:r>
      <w:proofErr w:type="spell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. b. del d.lgs. n.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u w:val="single"/>
          <w:lang w:eastAsia="it-IT"/>
        </w:rPr>
        <w:t>81/2008.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ind w:left="23"/>
        <w:rPr>
          <w:rFonts w:ascii="Arial" w:eastAsia="Times New Roman" w:hAnsi="Arial" w:cs="Arial"/>
          <w:b/>
          <w:color w:val="000000"/>
          <w:spacing w:val="-9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Le integrazioni, ad hoc, a questo documento di valutazione, per ogni singolo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ambiente lavorativo (in cui l’impresa/R.T.I. si interfaccerà nelle date di consegna e stoccaggio dei materiali presso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gli E.D.R. di ricezione della Difesa), nei termini di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informazioni/prescrizioni di maggiore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u w:val="single"/>
          <w:lang w:eastAsia="it-IT"/>
        </w:rPr>
        <w:t>dettaglio sui rischi della singola realtà operativa, saranno forniti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 - secondo le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modalità attuative di cui si dirà dopo -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t xml:space="preserve">da documenti di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lastRenderedPageBreak/>
        <w:t xml:space="preserve">"esclusiva applicazione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locale" che verranno redatti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dai predetti Enti, dopo attento studio “locale”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 xml:space="preserve">, quali </w:t>
      </w:r>
      <w:r w:rsidRPr="00A66069">
        <w:rPr>
          <w:rFonts w:ascii="Arial" w:eastAsia="Times New Roman" w:hAnsi="Arial" w:cs="Arial"/>
          <w:b/>
          <w:color w:val="000000"/>
          <w:spacing w:val="-9"/>
          <w:sz w:val="24"/>
          <w:szCs w:val="24"/>
          <w:u w:val="single"/>
          <w:lang w:eastAsia="it-IT"/>
        </w:rPr>
        <w:t>D.U.V.R.I. dinamici.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2. Fonti normative principali e natura giuridica del D.U.V.R.I.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3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Per i motivi suesposti, il presente Documento (in acronimo </w:t>
      </w:r>
      <w:r w:rsidRPr="00A66069">
        <w:rPr>
          <w:rFonts w:ascii="Arial" w:eastAsia="Times New Roman" w:hAnsi="Arial" w:cs="Arial"/>
          <w:b/>
          <w:color w:val="000000"/>
          <w:spacing w:val="-13"/>
          <w:sz w:val="24"/>
          <w:szCs w:val="24"/>
          <w:u w:val="single"/>
          <w:lang w:eastAsia="it-IT"/>
        </w:rPr>
        <w:t>D.U.V.R.I. statico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)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viene redatto e tanto, peraltro, in punto di diritto, in ossequio al dettato del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"Testo unico sulla sicurezza nei luoghi di lavoro" di cui al cit. d.lgs. n. 81/2008.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Con il presente D.U.V.R.I. si è inteso imporre precisi obblighi di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programmazione "minima" in capo alle varie figure risultanti Responsabili - ad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eterogeneo titolo - della corretta attuazione delle statuizioni normative di cui al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cit. T.U. sulla sicurezza nei luoghi di lavoro per quanto attiene sia a questa P.A.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acquirente, sia anche, dunque, ai singoli Centri di rifornimento, Depositi, Magazzini, ecc. che, ancorché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beneficiari della fornitura dei </w:t>
      </w:r>
      <w:r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materiali di </w:t>
      </w:r>
      <w:r w:rsidR="004B0A47"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vestiario</w:t>
      </w:r>
      <w:r w:rsidR="00E806B4"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,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1A5A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 tende </w:t>
      </w:r>
      <w:r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pur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in senso lato, rientrano nella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committenza (identificandosi ed appartenendo alla stessa P.A. cui si identifica </w:t>
      </w:r>
      <w:r w:rsidRPr="00A66069"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  <w:t>ed appartiene questa Direzione Generale).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Per tali ultimi Enti preposti alla ricezione dei materiali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il D.U.V.R.I. statico rappresenta, come appare chiaro, un documento di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massima da cui, di poi, far discendere (caso per caso) dei documenti di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maggiore dettaglio attagliati ai singoli casi di specie e alle singole realtà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>infrastrutturali - logistiche ed operative.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Documenti, questi ultimi, che prendono, come si è anticipato, nome di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"D.U.V.R.I. dinamici".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5" w:right="1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Quanto sopra, comunque, nell'ottica non di uno sterile appesantimento dell'iter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burocratico dell'esecuzione contrattuale, quanto, piuttosto affinché si possa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lang w:eastAsia="it-IT"/>
        </w:rPr>
        <w:t xml:space="preserve">operare, nel concreto, adoperando quelle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u w:val="single"/>
          <w:lang w:eastAsia="it-IT"/>
        </w:rPr>
        <w:t xml:space="preserve">minime, semplici e non onerose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misure che rendano sicura la "convivenza" fra due diverse "comunità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lavorative" all'interno di un "unico territorio di lavoro"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Un sincretismo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t xml:space="preserve">necessario alla corretta convivenza ed al reciproco rispetto delle dimensioni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logistico - operative delle due realtà.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In peculiare il presente documento statico si pone in ossequio all'art. 26/3° co. </w:t>
      </w:r>
      <w:proofErr w:type="gramStart"/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>del</w:t>
      </w:r>
      <w:proofErr w:type="gramEnd"/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 T.U. cit. che riprende in gran parte quanto, di già, previsto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 xml:space="preserve">dall'art. 7/3°co. </w:t>
      </w:r>
      <w:proofErr w:type="gramStart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del</w:t>
      </w:r>
      <w:proofErr w:type="gramEnd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 xml:space="preserve"> d.lgs. n. 626/94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, così come modificato ed integrato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dall'art. 3 della L. 123/07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("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 xml:space="preserve">Misure in tema di tutela della salute e della sicurezza sul lavoro e delega al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u w:val="single"/>
          <w:lang w:eastAsia="it-IT"/>
        </w:rPr>
        <w:t>Governo per il riassetto e la riforma della normativa in materia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").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L'articolo 26 del Testo Unico sulla Sicurezza (T.U.S.) cit. è, in diritto, quello che tecnicamente contiene la normativa precipua per disciplinare la specifica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problematica della Sicurezza nei luoghi di lavoro in materia degli appalti, delle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prestazioni d'opera e delle somministrazioni in ipotesi diverse da quelle dei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cantieri temporanei mobili.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43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Il presente documento tecnico è elaborato anche alla luce delle determinazioni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dell'Autorità per la vigilanza sui contratti pubblici di lavori, servizi e forniture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- non rientrando la fattispecie in argomento nel </w:t>
      </w:r>
      <w:proofErr w:type="spellStart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numerus</w:t>
      </w:r>
      <w:proofErr w:type="spellEnd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</w:t>
      </w:r>
      <w:proofErr w:type="spellStart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clausus</w:t>
      </w:r>
      <w:proofErr w:type="spellEnd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di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eccezioni per le quali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la determinazione n. 3, della Autority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 predetta,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 xml:space="preserve">in data 05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u w:val="single"/>
          <w:lang w:eastAsia="it-IT"/>
        </w:rPr>
        <w:t>marzo 2008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 ha avuto ad escludere l'obbligo per il committente di dare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corso alla redazione del D.U.V.R.I. (e, di conseguenza, di non procedere,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oltremodo, alla determinazione dei "costi della sicurezza" quale prevista dal d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.lgs. n. 81/2008 cit.).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38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La ratio ultima della normativa vigente, delle combinate disposizioni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legislative che la contengono (e, finalmente, per il caso de quo dei discendenti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D.U.V.R.I. statico e dinamici) è quella di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fornire ai soggetti coinvolti: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>tutte</w:t>
      </w:r>
      <w:proofErr w:type="gramEnd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 xml:space="preserve"> le utili informazioni sui rischi generici e specifici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degli ambienti in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cui i medesimi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lastRenderedPageBreak/>
        <w:t xml:space="preserve">operatori andranno a svolgere le rispettive attività; 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>nonché</w:t>
      </w:r>
      <w:proofErr w:type="gramEnd"/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 xml:space="preserve"> i dati sulle misure di prevenzione e di emergenza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 che andranno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p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oste, di conseguenza, in essere.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righ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In altri termini, il presente documento mira a promuovere la cooperazione ed il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coordinamento tra le parti per la valutazione dei rischi da interferenza e per la </w:t>
      </w:r>
      <w:r w:rsidRPr="00A66069"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  <w:t>loro minimizzazione/eliminazione.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1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Ciò, d'altro canto, in aderenza alla puntualizzazione sul significato stesso della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>"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u w:val="single"/>
          <w:lang w:eastAsia="it-IT"/>
        </w:rPr>
        <w:t xml:space="preserve">cooperazione fra committente e appaltatore in ordine alla pianificazione della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sicurezza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" quale voluta, come predetto, dal legislatore con la cit. L. 123/07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(con la quale, lo si ribadisce, l'organo legislativo è venuto cosi a sostituire il 3°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comma dell’art. 7 della cit. "626").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1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>Questo documento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>va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, logicamente,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 xml:space="preserve">ad integrare il contratto susseguente alla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>gara in oggetto divenendone specifico ulteriore allegato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. In quanto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allegato al contratto questo D.U.V.R.I.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>è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, di conseguenza,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 xml:space="preserve">da intendersi quale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 xml:space="preserve">documento tecnico avente la stessa natura e la stessa forza normativa speciale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u w:val="single"/>
          <w:lang w:eastAsia="it-IT"/>
        </w:rPr>
        <w:t>di Specifiche e Disciplinari tecnici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 w:righ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Ne discende che il Datore di lavoro/Fornitore deve, a sua volta, promuovere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la cooperazione ed il coordinamento per attuare: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con</w:t>
      </w:r>
      <w:proofErr w:type="gramEnd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 la prima attività, le misure di prevenzione e protezione dai rischi sul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lavoro incidenti sull'attività lavorativa oggetto dell' obbligazione di stivaggio e stoccaggio; 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con</w:t>
      </w:r>
      <w:proofErr w:type="gramEnd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la seconda, gli interventi di prevenzione e protezione dai rischi cui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sono esposti “i Lavoratori” procedendo a continue osmosi informative con il Committente – che nelle singole sedi, si identifica, per l’appunto, con le Direzioni dei Centri di Rifornimento/Magazzini/Depositi dell’A.D. – al fine di eliminare i rischi (o, almeno, di minimizzarli) dovuti alle interferenze. 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L’impresa/R.T.I. fornitrice, in tale ottica, alla luce del dovere di corretta </w:t>
      </w:r>
      <w:proofErr w:type="spellStart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contraenza</w:t>
      </w:r>
      <w:proofErr w:type="spellEnd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cui le parti debbono conformarsi, potrà, anche durante l'esecuzione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contrattuale, eventualmente, fornire proposte di modifica e/o di integrazione, al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presente D.U.V.R.I. statico sulla scorta di sue specifiche informazioni relative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ai rischi da interferenza.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Di tanto si è preso atto previamente alla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redazione del presente documento amministrativo a carattere tecnico </w:t>
      </w:r>
      <w:r w:rsidRPr="00A66069"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  <w:t>contrattuale.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3. Rischi non oggetto del D.U.V.R.I.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ind w:left="11" w:right="17"/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Il D.U.V.R.I. presente ha, dunque, ad oggetto le "interferenze" intese quali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circostanze in cui venga ad aversi un "contatto rischioso" tra il Personale del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Committente (in senso lato facendo rientrare fra questi anche quello dei singoli Centri di Rifornimento/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Magazzini/Depositi ponendosi, quindi, quale criterio discriminante oggettivo l'appartenenza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all'A.D.) e quello dell’impresa/R.T.I. operante presso la sede dell'Ente. Per cui,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interrelati i rischi presenti nei luoghi di lavoro (in cui cioè i servizi di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>stivaggio e stoccaggio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verranno a svolgersi) con quelli derivanti dall’obbligazione stessa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,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 xml:space="preserve">sono stati esclusi dal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eastAsia="it-IT"/>
        </w:rPr>
        <w:t>D.U.V.R.I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. presente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eastAsia="it-IT"/>
        </w:rPr>
        <w:t xml:space="preserve">i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>"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eastAsia="it-IT"/>
        </w:rPr>
        <w:t xml:space="preserve">rischi propri dell'attività d'impresa assuntrice del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t>servizio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".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4. Modalità attuative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5" w:right="11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Il presente documento dovrà essere oggetto di specifici incontri da tenersi fra l’impresa/R.T.I.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ed i singoli Centri di Rifornimento/Depositi/Magazzini delle FF.AA deputati alla ricezione dei 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materiali di vestiario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,</w:t>
      </w:r>
      <w:r w:rsidR="004B0A47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</w:t>
      </w:r>
      <w:r w:rsidR="001A5A13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 tende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, sia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al fine di permettere alle parti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u w:val="single"/>
          <w:lang w:eastAsia="it-IT"/>
        </w:rPr>
        <w:t>l'adozione di specifiche predisposizioni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, sia anche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u w:val="single"/>
          <w:lang w:eastAsia="it-IT"/>
        </w:rPr>
        <w:t>per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u w:val="single"/>
          <w:lang w:eastAsia="it-IT"/>
        </w:rPr>
        <w:t xml:space="preserve">poter sviluppare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 xml:space="preserve">ulteriori "condivisioni" dei D.U.V.R.I. dinamici che verranno redatti dai singoli </w:t>
      </w:r>
      <w:r w:rsidRPr="00A66069">
        <w:rPr>
          <w:rFonts w:ascii="Arial" w:eastAsia="Times New Roman" w:hAnsi="Arial" w:cs="Arial"/>
          <w:color w:val="000000"/>
          <w:spacing w:val="-26"/>
          <w:sz w:val="24"/>
          <w:szCs w:val="24"/>
          <w:u w:val="single"/>
          <w:lang w:eastAsia="it-IT"/>
        </w:rPr>
        <w:t>EDR.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8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lastRenderedPageBreak/>
        <w:t xml:space="preserve">Con tali D.U.V.R.I. dinamici sarà cura dei singoli Comandi provvedere a dare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corso alla adozione di ulteriori misure di tipo aggiuntivo per la prevenzione e la protezione contro i rischi di interferenza.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/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Va precisato che ogni singolo documento dinamico dovrà, a cura delle Direzioni dei Magazzini/Depositi de quo,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essere allegato al presente D.U.V.R.I. statico.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ind w:left="11"/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>Essi troveranno immediata e congiunta attuazione.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9"/>
        <w:rPr>
          <w:rFonts w:ascii="Arial" w:eastAsia="Times New Roman" w:hAnsi="Arial" w:cs="Arial"/>
          <w:i/>
          <w:iCs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i/>
          <w:iCs/>
          <w:color w:val="000000"/>
          <w:spacing w:val="-9"/>
          <w:sz w:val="24"/>
          <w:szCs w:val="24"/>
          <w:lang w:eastAsia="it-IT"/>
        </w:rPr>
        <w:t xml:space="preserve">In merito alla obbligatorietà dei suddetti </w:t>
      </w:r>
      <w:r w:rsidRPr="00A66069">
        <w:rPr>
          <w:rFonts w:ascii="Arial" w:eastAsia="Times New Roman" w:hAnsi="Arial" w:cs="Arial"/>
          <w:i/>
          <w:iCs/>
          <w:color w:val="000000"/>
          <w:spacing w:val="-12"/>
          <w:sz w:val="24"/>
          <w:szCs w:val="24"/>
          <w:u w:val="single"/>
          <w:lang w:eastAsia="it-IT"/>
        </w:rPr>
        <w:t>D.U.V.R.I. dinamici</w:t>
      </w:r>
      <w:r w:rsidRPr="00A66069">
        <w:rPr>
          <w:rFonts w:ascii="Arial" w:eastAsia="Times New Roman" w:hAnsi="Arial" w:cs="Arial"/>
          <w:i/>
          <w:iCs/>
          <w:color w:val="000000"/>
          <w:spacing w:val="-12"/>
          <w:sz w:val="24"/>
          <w:szCs w:val="24"/>
          <w:lang w:eastAsia="it-IT"/>
        </w:rPr>
        <w:t xml:space="preserve">, si fa presente tuttavia che, </w:t>
      </w:r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con l’entrata in vigore del </w:t>
      </w:r>
      <w:proofErr w:type="spellStart"/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d.lgs</w:t>
      </w:r>
      <w:proofErr w:type="spellEnd"/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 n. 106 del 03.08.2009 che all’art. 16 novella l’art.20 del d.lgs. n. 81 del 09.04.2008, i datori di lavoro, per le forniture di materiali, pur conservando gli adempimenti procedurali ed organizzativi finalizzati a prevenire l’insorgenza di rischi di interferenza, sono stati esonerati dall’obbligo di redazione di uno specifico documento per la valutazione del rischio.</w:t>
      </w:r>
    </w:p>
    <w:p w:rsidR="00A66069" w:rsidRPr="00A66069" w:rsidRDefault="00A66069" w:rsidP="00A66069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In relazione a quanto precede, questa D.G. lascerà ogni valutazione in merito alla necessità o meno di redigere il D.U.V.R.I. dinamico ai Direttori/Comandanti delle strutture presso le quali devono essere effettuate le consegne, i quali provvederanno in ogni caso a comunicare ai competenti Enti Esecutori le modalità procedurali che intenderanno attuare, finalizzate a prevenire l’insorgenza di rischi di interferenza.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5. Costì della sicurezza per la eliminazione delle interferenze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"/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Le misure preventive, protettive, i dispositivi di protezione individuale, gli impianti di terra, i mezzi ed i servizi di protezione collettiva, le procedure atte a garantire la sicurezza, nel presente D.U.V.R.I. vengono ad essere inquadrate quali fattispecie potenzialmente originanti costi della sicurezza da interferenza e, come tali, così sono state valutate.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before="100" w:after="0" w:line="322" w:lineRule="exact"/>
        <w:ind w:left="11"/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Nella fattispecie, questa Direzione Generale, in ossequio a quanto sancito dall'art. 26, comma 5 del d.lgs. n. 81/2008 cit. e rispettando la norma di chiusura di cui all'art. 1418 del Cod. </w:t>
      </w:r>
      <w:proofErr w:type="spellStart"/>
      <w:proofErr w:type="gramStart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Civ</w:t>
      </w:r>
      <w:proofErr w:type="spellEnd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.,</w:t>
      </w:r>
      <w:proofErr w:type="gramEnd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 ha concluso la propria valutazione, ritenendo che i costi di cui sopra, da porsi a carico dell’impresa/R.T.I. fornitrice, siano pari ad Euro 0 (zero).</w:t>
      </w:r>
    </w:p>
    <w:p w:rsidR="00A66069" w:rsidRPr="00A66069" w:rsidRDefault="00A66069" w:rsidP="00A660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lang w:eastAsia="it-IT"/>
        </w:rPr>
        <w:t>Tanto in quanto per il servizio di cui trattasi e cioè: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consegna</w:t>
      </w:r>
      <w:proofErr w:type="gramEnd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 stivaggio dei materiali di 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vestiario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, </w:t>
      </w:r>
      <w:r w:rsidR="001A5A13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equipaggiamento</w:t>
      </w:r>
      <w:bookmarkStart w:id="0" w:name="_GoBack"/>
      <w:bookmarkEnd w:id="0"/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 tende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presso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i Depositi/Magazzini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dell’Amministrazione Difesa;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stoccaggio</w:t>
      </w:r>
      <w:proofErr w:type="gramEnd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 presso gli appositi locali dei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Depositi/Magazzini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dell’Amministrazione Difesa, dei predetti materiali,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le</w:t>
      </w:r>
      <w:proofErr w:type="gram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 attività che pongono a contatto gli operatori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u w:val="single"/>
          <w:lang w:eastAsia="it-IT"/>
        </w:rPr>
        <w:t xml:space="preserve">dell’impresa/R.T.I.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e quelli della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A.D. sono minime e a bassa criticità di indurre danni da interferenza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per i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secondi ad opera dei primi.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Le potenzialità di danno delle predette attività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impongono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cioè,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la sola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u w:val="single"/>
          <w:lang w:eastAsia="it-IT"/>
        </w:rPr>
        <w:t xml:space="preserve">adozione da parte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u w:val="single"/>
          <w:lang w:eastAsia="it-IT"/>
        </w:rPr>
        <w:t>dell’impresa/R.T.I.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u w:val="single"/>
          <w:lang w:eastAsia="it-IT"/>
        </w:rPr>
        <w:t>, di concerto con le Direzioni degli Enti di Ricezione dell’A.D., di accorgimenti a bassissima onerosità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lang w:eastAsia="it-IT"/>
        </w:rPr>
        <w:t xml:space="preserve"> quali, a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titolo esemplificativo: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322" w:lineRule="exact"/>
        <w:ind w:left="748" w:hanging="357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la</w:t>
      </w:r>
      <w:proofErr w:type="gram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 chiusura delle aree citate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nel mentre le medesime vengono ad essere oggetto dello scarico/stivaggio e della sistemazione/stoccaggio delle merci, ecc.;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6. Presidi contro i danni interferenti causabili dagli automezzi della Ditta.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Gli automezzi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dell’impresa/R.T.I. 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dovranno accedere ed effettuare manovre, </w:t>
      </w:r>
      <w:r w:rsidRPr="00A66069">
        <w:rPr>
          <w:rFonts w:ascii="Arial" w:eastAsia="Times New Roman" w:hAnsi="Arial" w:cs="Arial"/>
          <w:spacing w:val="-1"/>
          <w:sz w:val="24"/>
          <w:szCs w:val="24"/>
          <w:lang w:eastAsia="it-IT"/>
        </w:rPr>
        <w:lastRenderedPageBreak/>
        <w:t>movimenti, transiti, nei cortili, nelle aree di sosta delle sedi di lavoro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6"/>
          <w:sz w:val="24"/>
          <w:szCs w:val="24"/>
          <w:lang w:eastAsia="it-IT"/>
        </w:rPr>
        <w:t>(caserme) a velocità ridotta e, comunque, tale da non poter determinare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8"/>
          <w:sz w:val="24"/>
          <w:szCs w:val="24"/>
          <w:lang w:eastAsia="it-IT"/>
        </w:rPr>
        <w:t>alcun danno colposo alle Persone, alle infrastrutture, agli automezzi della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10"/>
          <w:sz w:val="24"/>
          <w:szCs w:val="24"/>
          <w:lang w:eastAsia="it-IT"/>
        </w:rPr>
        <w:t>Amministrazione Militare.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2"/>
          <w:sz w:val="24"/>
          <w:szCs w:val="24"/>
          <w:lang w:eastAsia="it-IT"/>
        </w:rPr>
        <w:t>All'interno degli E.D.R. si impone l'osservanza delle seguenti misure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10"/>
          <w:sz w:val="24"/>
          <w:szCs w:val="24"/>
          <w:lang w:eastAsia="it-IT"/>
        </w:rPr>
        <w:t>precauzionali: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 xml:space="preserve">osservazione e rispetto della segnaletica presente nelle aree adibite a </w:t>
      </w:r>
      <w:r w:rsidRPr="00A66069">
        <w:rPr>
          <w:rFonts w:ascii="Arial" w:eastAsia="Times New Roman" w:hAnsi="Arial" w:cs="Arial"/>
          <w:spacing w:val="-11"/>
          <w:sz w:val="24"/>
          <w:szCs w:val="24"/>
          <w:lang w:eastAsia="it-IT"/>
        </w:rPr>
        <w:t>transito;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moderazione della velocità;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assenza di transito e sosta nelle aree di manovra dei mezzi;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left="284" w:right="24" w:hanging="28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effettuazione di manovre in caso di scarsa visibilità/manovrabilità solo con l'ausilio di Personale di terra;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left="284" w:right="24" w:hanging="28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 xml:space="preserve">prestazione </w:t>
      </w:r>
      <w:proofErr w:type="gramStart"/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della  massima</w:t>
      </w:r>
      <w:proofErr w:type="gramEnd"/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 xml:space="preserve"> possibile attenzione negli attraversamenti di piazzali al sopraggiungere di veicoli.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before="10" w:after="0" w:line="326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9"/>
          <w:sz w:val="24"/>
          <w:szCs w:val="24"/>
          <w:lang w:eastAsia="it-IT"/>
        </w:rPr>
        <w:t>Si rende inoltre necessario adottare le precauzioni a seguire: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prestare attenzione alle manovre di altri veicoli;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left="284" w:right="24" w:hanging="28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prestare attenzione ai cancelli o portoni dotati di meccanismi di apertura e di chiusura meccanizzata - i cui sistemi ottici di controllo dei meccanismi non vanno oscurati, manomessi;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40" w:line="322" w:lineRule="exact"/>
        <w:ind w:left="284" w:right="23" w:hanging="28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indicare con idonea segnaletica la presenza del cantiere per interventi sui piazzali e sulla viabilità esterna - comunque, previa autorizzazione ad hoc.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26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7. Tipologia esemplificativa dell'organizzazione di misure di prevenzione e protezione.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Onde permettere la minimizzazione - maggiore possibile - dei rischi da interferenza, questa Direzione Generale ha inteso corredare il </w:t>
      </w:r>
      <w:r w:rsidRPr="00A66069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presente D.U.V.R.I. statico di una Lista di controllo che, pur non ponendosi quale tassativo ed esaustivo numero di possibili casi, vuole essere una guida </w:t>
      </w:r>
      <w:r w:rsidRPr="00A66069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cui attenersi nella più precisa - ed eventualmente derogatoria - casistica che 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dovrà discendere dai singoli D.U.V.R.I. dinamici (documenti che, in altri </w:t>
      </w:r>
      <w:r w:rsidRPr="00A66069">
        <w:rPr>
          <w:rFonts w:ascii="Arial" w:eastAsia="Times New Roman" w:hAnsi="Arial" w:cs="Arial"/>
          <w:spacing w:val="-8"/>
          <w:sz w:val="24"/>
          <w:szCs w:val="24"/>
          <w:lang w:eastAsia="it-IT"/>
        </w:rPr>
        <w:t xml:space="preserve">termini detto, si porranno quale integrativi ed attuativi del presente). </w:t>
      </w:r>
      <w:r w:rsidRPr="00A66069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L'elencazione di cui alla tabella a seguire, ovviamente, è da intendersi quale 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>orientativa delle ipotesi di prevenzione e protezione generiche.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rPr>
          <w:rFonts w:ascii="Arial" w:eastAsia="Times New Roman" w:hAnsi="Arial" w:cs="Arial"/>
          <w:spacing w:val="-12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u w:val="single"/>
          <w:lang w:eastAsia="it-IT"/>
        </w:rPr>
        <w:t xml:space="preserve">Sarà cura dei singoli Centri di Rifornimento/Depositi/Magazzini dare corso ad ulteriori </w:t>
      </w:r>
      <w:r w:rsidRPr="00A66069">
        <w:rPr>
          <w:rFonts w:ascii="Arial" w:eastAsia="Times New Roman" w:hAnsi="Arial" w:cs="Arial"/>
          <w:spacing w:val="-12"/>
          <w:sz w:val="24"/>
          <w:szCs w:val="24"/>
          <w:u w:val="single"/>
          <w:lang w:eastAsia="it-IT"/>
        </w:rPr>
        <w:t>prescrizioni attagliate ai singoli "ambiti spaziali di interferenza".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rPr>
          <w:rFonts w:ascii="Arial" w:eastAsia="Times New Roman" w:hAnsi="Arial" w:cs="Arial"/>
          <w:sz w:val="24"/>
          <w:szCs w:val="24"/>
          <w:lang w:eastAsia="it-IT"/>
        </w:rPr>
        <w:sectPr w:rsidR="00A66069" w:rsidRPr="00A66069" w:rsidSect="000138EF">
          <w:headerReference w:type="default" r:id="rId7"/>
          <w:footerReference w:type="even" r:id="rId8"/>
          <w:footerReference w:type="default" r:id="rId9"/>
          <w:pgSz w:w="11909" w:h="16834"/>
          <w:pgMar w:top="1135" w:right="1514" w:bottom="851" w:left="1440" w:header="720" w:footer="720" w:gutter="0"/>
          <w:cols w:space="60"/>
          <w:noEndnote/>
        </w:sectPr>
      </w:pPr>
    </w:p>
    <w:tbl>
      <w:tblPr>
        <w:tblStyle w:val="Tabellasemplice-2"/>
        <w:tblW w:w="9643" w:type="dxa"/>
        <w:tblLayout w:type="fixed"/>
        <w:tblLook w:val="0000" w:firstRow="0" w:lastRow="0" w:firstColumn="0" w:lastColumn="0" w:noHBand="0" w:noVBand="0"/>
        <w:tblCaption w:val="Tebella sinottica valutazione rischi"/>
      </w:tblPr>
      <w:tblGrid>
        <w:gridCol w:w="568"/>
        <w:gridCol w:w="2268"/>
        <w:gridCol w:w="2693"/>
        <w:gridCol w:w="1843"/>
        <w:gridCol w:w="2271"/>
      </w:tblGrid>
      <w:tr w:rsidR="00A66069" w:rsidRPr="00A66069" w:rsidTr="00B43722">
        <w:trPr>
          <w:trHeight w:val="1828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  <w:textDirection w:val="btLr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ind w:left="113" w:right="113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lastRenderedPageBreak/>
              <w:t>N. D’ORDINE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Tipologia di misura da porre in essere per minimizzare il rischio da interferenza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Probabilità che si verifichi la causa dell’evento dannoso (significatività) in carenza di contromisure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Gravità dell’evento dannoso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Tipologia di contromisure da porre in essere per minimizzare il rischio da interferenza</w:t>
            </w:r>
          </w:p>
        </w:tc>
      </w:tr>
      <w:tr w:rsidR="00A66069" w:rsidRPr="00A66069" w:rsidTr="00B43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Ingresso degli Automezzi dell’impresa/R.T.I.</w:t>
            </w:r>
            <w:r w:rsidRPr="00A66069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fornitrice per la consegna dei materiali ai Magazzini/Depositi.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Personale dell’A.D. e beni immobili o mobili dell’A.D. che vengano, rispettivamente, investito o danneggiato a seguito di incidente causato dalle manovre degli Automezzi dell’impresa/</w:t>
            </w:r>
            <w:proofErr w:type="gramStart"/>
            <w:r w:rsidRPr="00A66069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R.T.I..</w:t>
            </w:r>
            <w:proofErr w:type="gram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ALTA</w:t>
            </w:r>
          </w:p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(</w:t>
            </w:r>
            <w:proofErr w:type="gramStart"/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possibilità</w:t>
            </w:r>
            <w:proofErr w:type="gramEnd"/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di gravi incidenti)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322" w:lineRule="exact"/>
              <w:ind w:right="24"/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Far</w:t>
            </w:r>
            <w:r w:rsidRPr="00A66069">
              <w:rPr>
                <w:rFonts w:ascii="Arial" w:eastAsia="Times New Roman" w:hAnsi="Arial" w:cs="Arial"/>
                <w:spacing w:val="-5"/>
                <w:sz w:val="24"/>
                <w:szCs w:val="24"/>
                <w:lang w:eastAsia="it-IT"/>
              </w:rPr>
              <w:t xml:space="preserve"> osservare e rispettare la segnaletica presente nelle aree adibite a </w:t>
            </w:r>
            <w:r w:rsidRPr="00A66069">
              <w:rPr>
                <w:rFonts w:ascii="Arial" w:eastAsia="Times New Roman" w:hAnsi="Arial" w:cs="Arial"/>
                <w:spacing w:val="-11"/>
                <w:sz w:val="24"/>
                <w:szCs w:val="24"/>
                <w:lang w:eastAsia="it-IT"/>
              </w:rPr>
              <w:t>transito</w:t>
            </w: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 xml:space="preserve"> (moderazione della velocità;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>assenza di transito e sosta nelle aree di manovra dei mezzi;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spacing w:val="-5"/>
                <w:sz w:val="24"/>
                <w:szCs w:val="24"/>
                <w:lang w:eastAsia="it-IT"/>
              </w:rPr>
              <w:t>prestazione della massima possibile attenzione negli attraversamenti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>di piazzali al sopraggiungere di veicoli, ecc.).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line="326" w:lineRule="exact"/>
              <w:ind w:left="-26"/>
              <w:rPr>
                <w:rFonts w:ascii="Arial" w:eastAsia="Times New Roman" w:hAnsi="Arial" w:cs="Arial"/>
                <w:spacing w:val="-9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pacing w:val="-9"/>
                <w:sz w:val="24"/>
                <w:szCs w:val="24"/>
                <w:lang w:eastAsia="it-IT"/>
              </w:rPr>
              <w:t>Adottare le precauzioni a seguire: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line="326" w:lineRule="exact"/>
              <w:ind w:left="-26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>• prestare attenzione alle manovre di altri veicoli;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322" w:lineRule="exact"/>
              <w:ind w:left="-26" w:right="19"/>
              <w:rPr>
                <w:rFonts w:ascii="Arial" w:eastAsia="Times New Roman" w:hAnsi="Arial" w:cs="Arial"/>
                <w:spacing w:val="-4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• prestare attenzione ai cancelli o portoni dotati di meccanismi di </w:t>
            </w:r>
            <w:r w:rsidRPr="00A66069">
              <w:rPr>
                <w:rFonts w:ascii="Arial" w:eastAsia="Times New Roman" w:hAnsi="Arial" w:cs="Arial"/>
                <w:spacing w:val="-4"/>
                <w:sz w:val="24"/>
                <w:szCs w:val="24"/>
                <w:lang w:eastAsia="it-IT"/>
              </w:rPr>
              <w:t>apertura e di chiusura meccanizzata.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322" w:lineRule="exact"/>
              <w:ind w:left="-26" w:right="19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A66069" w:rsidRPr="00A66069" w:rsidTr="00B4372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Introduzione dei materiali nei Magazzini/Depositi.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Personale dell’A.D. che passi casualmente nelle aree di ingresso materiali durante le fasi di introduzione dei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predetti.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MEDIA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(</w:t>
            </w:r>
            <w:proofErr w:type="gram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urti</w:t>
            </w:r>
            <w:proofErr w:type="gramEnd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, cadute, contusioni, lesioni da impatto con personale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ovvero con materiale in ingresso).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 xml:space="preserve">Far accedere il personale dell’impresa/R.T.I. esclusivamente da aree ad hoc. Alle porte d’ingresso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apporre idonea segnaletica dalla quale si evinca che l’accesso ai locali è consentito ai soli dipendenti dell’impresa/R.T.I. fornitrice ed al Personale autorizzato (da elencarsi a cura delle Direzioni dei Magazzini/Depositi). Apposizione d’idonea segnalazione.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A66069" w:rsidRPr="00A66069" w:rsidTr="00B43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Operazioni successive alla introduzione di materiali (posizionamento nelle scaffalature, sistemazione, ecc.).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Personale dell’A.D. che entri casualmente nelle aree interessate.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MEDIA</w:t>
            </w:r>
          </w:p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(Urti, cadute, lesioni da impatto con Personale dell’impresa/R.T.I.).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Interdire l’area di accesso alla zona di stoccaggio per tutta la durata delle operazioni di sistemazione dei materiali nelle apposite scaffalature. Apposizione di idonea segnalazione.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A66069" w:rsidRPr="00A66069" w:rsidTr="00B4372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Specifica movimentazione dei materiali con apparecchi meccanici e/o mezzi di sollevamento, ecc.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Personale della A.D. che subisca danni – anche gravi – dal cattivo o errato utilizzo dei predetti </w:t>
            </w:r>
            <w:proofErr w:type="gram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apparecchi.  </w:t>
            </w:r>
            <w:proofErr w:type="gram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ALTA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(</w:t>
            </w:r>
            <w:proofErr w:type="gram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possibilità</w:t>
            </w:r>
            <w:proofErr w:type="gramEnd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di ben più gravi incidenti).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Interdire l’area di accesso alla zona di stivaggio e stoccaggio ove si operi con mezzi meccanici, ecc. per tutta la durata delle operazioni di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 xml:space="preserve">impiego delle apparecchiature. Apposizione di idonea segnaletica </w:t>
            </w:r>
            <w:proofErr w:type="spell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interdittiva</w:t>
            </w:r>
            <w:proofErr w:type="spellEnd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:rsidR="00C6581A" w:rsidRDefault="00C6581A" w:rsidP="00A66069"/>
    <w:sectPr w:rsidR="00C6581A">
      <w:pgSz w:w="11909" w:h="16834"/>
      <w:pgMar w:top="1375" w:right="1381" w:bottom="360" w:left="138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F8F" w:rsidRDefault="00B43722">
      <w:pPr>
        <w:spacing w:after="0" w:line="240" w:lineRule="auto"/>
      </w:pPr>
      <w:r>
        <w:separator/>
      </w:r>
    </w:p>
  </w:endnote>
  <w:endnote w:type="continuationSeparator" w:id="0">
    <w:p w:rsidR="001C5F8F" w:rsidRDefault="00B43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C8" w:rsidRDefault="00A6606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D4FC8" w:rsidRDefault="001A5A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C8" w:rsidRDefault="00A6606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A5A1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D4FC8" w:rsidRDefault="001A5A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F8F" w:rsidRDefault="00B43722">
      <w:pPr>
        <w:spacing w:after="0" w:line="240" w:lineRule="auto"/>
      </w:pPr>
      <w:r>
        <w:separator/>
      </w:r>
    </w:p>
  </w:footnote>
  <w:footnote w:type="continuationSeparator" w:id="0">
    <w:p w:rsidR="001C5F8F" w:rsidRDefault="00B43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C8" w:rsidRPr="000F3253" w:rsidRDefault="00A66069" w:rsidP="00400E70">
    <w:pPr>
      <w:pStyle w:val="Titolo7"/>
      <w:jc w:val="right"/>
      <w:rPr>
        <w:rFonts w:ascii="Arial" w:hAnsi="Arial" w:cs="Arial"/>
        <w:b/>
        <w:i w:val="0"/>
        <w:color w:val="auto"/>
        <w:sz w:val="20"/>
      </w:rPr>
    </w:pPr>
    <w:r w:rsidRPr="000F3253">
      <w:rPr>
        <w:rFonts w:ascii="Arial" w:hAnsi="Arial" w:cs="Arial"/>
        <w:b/>
        <w:i w:val="0"/>
        <w:color w:val="auto"/>
        <w:sz w:val="20"/>
      </w:rPr>
      <w:t>Allega</w:t>
    </w:r>
    <w:r w:rsidR="00DB6317">
      <w:rPr>
        <w:rFonts w:ascii="Arial" w:hAnsi="Arial" w:cs="Arial"/>
        <w:b/>
        <w:i w:val="0"/>
        <w:color w:val="auto"/>
        <w:sz w:val="20"/>
      </w:rPr>
      <w:t>to n.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B772C"/>
    <w:multiLevelType w:val="hybridMultilevel"/>
    <w:tmpl w:val="3FB69158"/>
    <w:lvl w:ilvl="0" w:tplc="FFFFFFFF">
      <w:start w:val="2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eastAsia="Times New Roman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6A5C15ED"/>
    <w:multiLevelType w:val="hybridMultilevel"/>
    <w:tmpl w:val="0D00FB50"/>
    <w:lvl w:ilvl="0" w:tplc="FFFFFFFF">
      <w:start w:val="2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eastAsia="Times New Roman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B8"/>
    <w:rsid w:val="000F3253"/>
    <w:rsid w:val="001A5A13"/>
    <w:rsid w:val="001C5F8F"/>
    <w:rsid w:val="001D3CCA"/>
    <w:rsid w:val="002C616F"/>
    <w:rsid w:val="004B0A47"/>
    <w:rsid w:val="0057735B"/>
    <w:rsid w:val="005B3ABF"/>
    <w:rsid w:val="00626A1D"/>
    <w:rsid w:val="006341AF"/>
    <w:rsid w:val="00784F0E"/>
    <w:rsid w:val="00832180"/>
    <w:rsid w:val="00A66069"/>
    <w:rsid w:val="00B43722"/>
    <w:rsid w:val="00C35705"/>
    <w:rsid w:val="00C6581A"/>
    <w:rsid w:val="00D64631"/>
    <w:rsid w:val="00DB6317"/>
    <w:rsid w:val="00E563E2"/>
    <w:rsid w:val="00E806B4"/>
    <w:rsid w:val="00F057A2"/>
    <w:rsid w:val="00F4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DC900-F198-418E-AFCD-4062670C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0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0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idipagina">
    <w:name w:val="footer"/>
    <w:basedOn w:val="Normale"/>
    <w:link w:val="PidipaginaCarattere"/>
    <w:uiPriority w:val="99"/>
    <w:semiHidden/>
    <w:rsid w:val="00A66069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60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semiHidden/>
    <w:rsid w:val="00A66069"/>
    <w:rPr>
      <w:rFonts w:cs="Times New Roman"/>
    </w:rPr>
  </w:style>
  <w:style w:type="table" w:styleId="Tabellasemplice-2">
    <w:name w:val="Plain Table 2"/>
    <w:basedOn w:val="Tabellanormale"/>
    <w:uiPriority w:val="42"/>
    <w:rsid w:val="00B437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41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4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2727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DUVRI STATICO Allegato 9</vt:lpstr>
    </vt:vector>
  </TitlesOfParts>
  <Manager>Col. Leopoldo CIMINO</Manager>
  <Company/>
  <LinksUpToDate>false</LinksUpToDate>
  <CharactersWithSpaces>18236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DUVRI STATICO Allegato 9</dc:title>
  <dc:subject/>
  <dc:creator>Moretti, Funz. Amm. Francesca - COMMISERVIZI</dc:creator>
  <cp:keywords/>
  <dc:description/>
  <cp:lastModifiedBy>Decataldo, Ten.Col. Tiziana - COMMISERVIZI</cp:lastModifiedBy>
  <cp:revision>5</cp:revision>
  <cp:lastPrinted>2018-05-23T09:09:00Z</cp:lastPrinted>
  <dcterms:created xsi:type="dcterms:W3CDTF">2020-04-10T15:53:00Z</dcterms:created>
  <dcterms:modified xsi:type="dcterms:W3CDTF">2022-05-09T13:54:00Z</dcterms:modified>
</cp:coreProperties>
</file>