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E24DF" w14:textId="77777777" w:rsidR="00C17355" w:rsidRDefault="00C17355" w:rsidP="00C17355">
      <w:pPr>
        <w:keepNext/>
        <w:keepLines/>
        <w:pBdr>
          <w:top w:val="single" w:sz="4" w:space="1" w:color="auto"/>
          <w:left w:val="single" w:sz="4" w:space="4" w:color="auto"/>
          <w:bottom w:val="single" w:sz="4" w:space="1" w:color="auto"/>
          <w:right w:val="single" w:sz="4" w:space="4" w:color="auto"/>
        </w:pBdr>
        <w:shd w:val="clear" w:color="auto" w:fill="A6A6A6" w:themeFill="background1" w:themeFillShade="A6"/>
        <w:spacing w:before="100" w:beforeAutospacing="1"/>
        <w:jc w:val="center"/>
        <w:outlineLvl w:val="0"/>
        <w:rPr>
          <w:rFonts w:asciiTheme="minorHAnsi" w:eastAsia="Calibri" w:hAnsiTheme="minorHAnsi" w:cstheme="minorHAnsi"/>
          <w:b/>
          <w:sz w:val="28"/>
          <w:szCs w:val="28"/>
          <w:lang w:val="x-none" w:eastAsia="x-none"/>
        </w:rPr>
      </w:pPr>
      <w:r>
        <w:rPr>
          <w:rFonts w:asciiTheme="minorHAnsi" w:eastAsia="Calibri" w:hAnsiTheme="minorHAnsi" w:cstheme="minorHAnsi"/>
          <w:b/>
          <w:sz w:val="28"/>
          <w:szCs w:val="28"/>
          <w:lang w:val="x-none" w:eastAsia="x-none"/>
        </w:rPr>
        <w:t>RELAZIONE TECNICO-DESCRITTIVA</w:t>
      </w:r>
    </w:p>
    <w:p w14:paraId="3379472B" w14:textId="77777777" w:rsidR="00C17355" w:rsidRDefault="00C17355" w:rsidP="00C17355">
      <w:pPr>
        <w:spacing w:line="240" w:lineRule="auto"/>
        <w:jc w:val="left"/>
        <w:rPr>
          <w:rFonts w:asciiTheme="minorHAnsi" w:hAnsiTheme="minorHAnsi"/>
          <w:sz w:val="20"/>
          <w:lang w:bidi="it-IT"/>
        </w:rPr>
      </w:pPr>
    </w:p>
    <w:p w14:paraId="4EAC1363" w14:textId="77777777" w:rsidR="00C17355" w:rsidRDefault="00C17355" w:rsidP="00C17355">
      <w:pPr>
        <w:spacing w:line="240" w:lineRule="auto"/>
        <w:rPr>
          <w:rFonts w:asciiTheme="minorHAnsi" w:hAnsiTheme="minorHAnsi" w:cstheme="minorHAnsi"/>
          <w:sz w:val="22"/>
        </w:rPr>
      </w:pPr>
      <w:r>
        <w:rPr>
          <w:rFonts w:asciiTheme="minorHAnsi" w:hAnsiTheme="minorHAnsi" w:cstheme="minorHAnsi"/>
          <w:sz w:val="22"/>
        </w:rPr>
        <w:t xml:space="preserve">La Relazione tecnico-descrittiva, </w:t>
      </w:r>
      <w:r>
        <w:rPr>
          <w:rFonts w:asciiTheme="minorHAnsi" w:hAnsiTheme="minorHAnsi" w:cstheme="minorHAnsi"/>
          <w:b/>
          <w:sz w:val="22"/>
          <w:u w:val="single"/>
        </w:rPr>
        <w:t>sottoscritta digitalmente</w:t>
      </w:r>
      <w:r>
        <w:rPr>
          <w:rFonts w:asciiTheme="minorHAnsi" w:hAnsiTheme="minorHAnsi" w:cstheme="minorHAnsi"/>
          <w:sz w:val="22"/>
        </w:rPr>
        <w:t>, redatta per punti seguendo l’indicazione dei sub criteri riportati nella tabella oggetto di valutazione (vedi “19.1 Criteri di valutazione dell’offerta tecnica”). Nella relazione dovrà trovare distinzione l’offerta relativa ad ogni edificio del plesso (PALAZZO DUCALE, PALAZZINA DARDI, PALAZZINA ABBA, PADIGLIONE ALIPRANDI, PISCINA FANTI). La documentazione</w:t>
      </w:r>
      <w:r>
        <w:rPr>
          <w:rFonts w:asciiTheme="minorHAnsi" w:hAnsiTheme="minorHAnsi" w:cstheme="minorHAnsi"/>
          <w:sz w:val="22"/>
          <w:shd w:val="clear" w:color="auto" w:fill="FFFFFF" w:themeFill="background1"/>
        </w:rPr>
        <w:t xml:space="preserve"> dovrà essere redatta in </w:t>
      </w:r>
      <w:proofErr w:type="spellStart"/>
      <w:r>
        <w:rPr>
          <w:rFonts w:asciiTheme="minorHAnsi" w:hAnsiTheme="minorHAnsi" w:cstheme="minorHAnsi"/>
          <w:sz w:val="22"/>
          <w:shd w:val="clear" w:color="auto" w:fill="FFFFFF" w:themeFill="background1"/>
        </w:rPr>
        <w:t>max</w:t>
      </w:r>
      <w:proofErr w:type="spellEnd"/>
      <w:r>
        <w:rPr>
          <w:rFonts w:asciiTheme="minorHAnsi" w:hAnsiTheme="minorHAnsi" w:cstheme="minorHAnsi"/>
          <w:sz w:val="22"/>
          <w:shd w:val="clear" w:color="auto" w:fill="FFFFFF" w:themeFill="background1"/>
        </w:rPr>
        <w:t xml:space="preserve"> 6 pagine (</w:t>
      </w:r>
      <w:r>
        <w:rPr>
          <w:rFonts w:asciiTheme="minorHAnsi" w:hAnsiTheme="minorHAnsi" w:cstheme="minorHAnsi"/>
          <w:sz w:val="22"/>
        </w:rPr>
        <w:t>12 facciate) formato A4 (interlinea singola, corpo 12, Times New Roman) per ciascun edificio interessato dall’intervento. Possono essere allegati alle relazioni elaborati grafici per un massimo di 3 facciate in formato A3 per ogni edificio. In sintesi per ogni edificio (12 facciate A4 + 3 pagine A3 solo per elaborati grafici non fronte retro) ed in particolare:</w:t>
      </w:r>
    </w:p>
    <w:p w14:paraId="3A70A3D8" w14:textId="77777777" w:rsidR="00C17355" w:rsidRDefault="00C17355" w:rsidP="00C17355">
      <w:pPr>
        <w:pStyle w:val="Paragrafoelenco"/>
        <w:ind w:left="0"/>
        <w:rPr>
          <w:rFonts w:asciiTheme="minorHAnsi" w:hAnsiTheme="minorHAnsi" w:cstheme="minorHAnsi"/>
          <w:sz w:val="16"/>
          <w:szCs w:val="16"/>
        </w:rPr>
      </w:pPr>
    </w:p>
    <w:p w14:paraId="0E4A5802" w14:textId="77777777" w:rsidR="00C17355" w:rsidRPr="0004203B" w:rsidRDefault="00C17355" w:rsidP="0004203B">
      <w:pPr>
        <w:pStyle w:val="Paragrafoelenco"/>
        <w:spacing w:after="120" w:line="240" w:lineRule="auto"/>
        <w:ind w:left="0"/>
        <w:contextualSpacing/>
        <w:rPr>
          <w:rFonts w:ascii="Times New Roman" w:hAnsi="Times New Roman" w:cs="Times New Roman"/>
          <w:i/>
          <w:szCs w:val="24"/>
        </w:rPr>
      </w:pPr>
      <w:r w:rsidRPr="0004203B">
        <w:rPr>
          <w:rFonts w:ascii="Times New Roman" w:hAnsi="Times New Roman" w:cs="Times New Roman"/>
          <w:b/>
          <w:szCs w:val="24"/>
        </w:rPr>
        <w:t xml:space="preserve">Id.1 Scelta progettuale e sue modalità di inserimento nel contesto esistente </w:t>
      </w:r>
      <w:r w:rsidRPr="0004203B">
        <w:rPr>
          <w:rFonts w:ascii="Times New Roman" w:hAnsi="Times New Roman" w:cs="Times New Roman"/>
          <w:i/>
          <w:szCs w:val="24"/>
        </w:rPr>
        <w:t>(verrà valutata la qualità della proposta progettuale con particolare riguardo alla posa, all’impatto estetico prodotto, alla minimizzazione della gestione manutentiva dei materiali impiegati)</w:t>
      </w:r>
    </w:p>
    <w:p w14:paraId="551F0397"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Id.1.1 Affidabilità, completezza e adeguatezza della progettazione.</w:t>
      </w:r>
    </w:p>
    <w:p w14:paraId="21D9A0E8"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34FEB115"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29DC5370"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Id.1.2 Pregio tecnico funzionale della progettazione.</w:t>
      </w:r>
    </w:p>
    <w:p w14:paraId="0479BD3E"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4D5DA6EC"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1CD99CCE"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Id.1.3 Presupposti progettuali e metodologie per la durabilità degli impianti e manutenibilità.</w:t>
      </w:r>
    </w:p>
    <w:p w14:paraId="636141FB"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252D2E66"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5159CE54" w14:textId="77777777" w:rsidR="00C17355" w:rsidRPr="0004203B" w:rsidRDefault="00C17355" w:rsidP="0004203B">
      <w:pPr>
        <w:pStyle w:val="Paragrafoelenco"/>
        <w:spacing w:line="240" w:lineRule="auto"/>
        <w:ind w:left="0"/>
        <w:contextualSpacing/>
        <w:rPr>
          <w:rFonts w:ascii="Times New Roman" w:hAnsi="Times New Roman" w:cs="Times New Roman"/>
          <w:szCs w:val="24"/>
        </w:rPr>
      </w:pPr>
    </w:p>
    <w:p w14:paraId="7D4D4D18" w14:textId="77777777" w:rsidR="00C17355" w:rsidRPr="0004203B" w:rsidRDefault="00C17355" w:rsidP="0004203B">
      <w:pPr>
        <w:spacing w:after="120" w:line="240" w:lineRule="auto"/>
        <w:contextualSpacing/>
        <w:rPr>
          <w:rFonts w:ascii="Times New Roman" w:eastAsia="Calibri" w:hAnsi="Times New Roman"/>
          <w:i/>
          <w:szCs w:val="24"/>
          <w:lang w:eastAsia="it-IT"/>
        </w:rPr>
      </w:pPr>
      <w:r w:rsidRPr="0004203B">
        <w:rPr>
          <w:rFonts w:ascii="Times New Roman" w:eastAsia="Calibri" w:hAnsi="Times New Roman"/>
          <w:b/>
          <w:szCs w:val="24"/>
          <w:lang w:eastAsia="it-IT"/>
        </w:rPr>
        <w:t xml:space="preserve">Id.2 Qualità delle tecnologie e dei materiali </w:t>
      </w:r>
      <w:r w:rsidRPr="0004203B">
        <w:rPr>
          <w:rFonts w:ascii="Times New Roman" w:eastAsia="Calibri" w:hAnsi="Times New Roman"/>
          <w:i/>
          <w:szCs w:val="24"/>
          <w:lang w:eastAsia="it-IT"/>
        </w:rPr>
        <w:t>(verranno valutate le tecnologie offerte e la qualità dei materiali indicati nella proposta progettuale)</w:t>
      </w:r>
    </w:p>
    <w:p w14:paraId="19939718" w14:textId="77777777" w:rsidR="00C17355" w:rsidRPr="0004203B" w:rsidRDefault="00C17355" w:rsidP="0004203B">
      <w:pPr>
        <w:pStyle w:val="Paragrafoelenco"/>
        <w:spacing w:line="240" w:lineRule="auto"/>
        <w:ind w:left="0"/>
        <w:contextualSpacing/>
        <w:rPr>
          <w:rFonts w:ascii="Times New Roman" w:eastAsia="Calibri" w:hAnsi="Times New Roman" w:cs="Times New Roman"/>
          <w:i/>
          <w:szCs w:val="24"/>
          <w:u w:val="single"/>
          <w:lang w:eastAsia="it-IT"/>
        </w:rPr>
      </w:pPr>
      <w:r w:rsidRPr="0004203B">
        <w:rPr>
          <w:rFonts w:ascii="Times New Roman" w:hAnsi="Times New Roman" w:cs="Times New Roman"/>
          <w:i/>
          <w:szCs w:val="24"/>
          <w:u w:val="single"/>
        </w:rPr>
        <w:t>Id.2.1 Impianti Tecnologici: specifiche tecniche delle tecnologie e dei materiali proposti per impianto di riscaldamento, produzione acqua calda sanitaria, sistema di cogenerazione.</w:t>
      </w:r>
    </w:p>
    <w:p w14:paraId="4E18337B"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117BE5A1"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59251333"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Id.2.2 Involucro Edilizio: specifiche tecniche delle tecnologie e dei materiali proposti per installazione di nuovi serramenti e coibentazioni.</w:t>
      </w:r>
    </w:p>
    <w:p w14:paraId="7E5E70D4"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081B650A"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1DFFD307"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Id.2.3 BMS: caratteristiche tecnologiche e di sicurezza cyber del sistema proposto</w:t>
      </w:r>
    </w:p>
    <w:p w14:paraId="7A4F7554"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555503C9"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397F21FE" w14:textId="77777777" w:rsidR="00C17355" w:rsidRPr="0004203B" w:rsidRDefault="00C17355" w:rsidP="0004203B">
      <w:pPr>
        <w:pStyle w:val="Paragrafoelenco"/>
        <w:spacing w:line="240" w:lineRule="auto"/>
        <w:ind w:left="0"/>
        <w:contextualSpacing/>
        <w:rPr>
          <w:rFonts w:ascii="Times New Roman" w:hAnsi="Times New Roman" w:cs="Times New Roman"/>
          <w:szCs w:val="24"/>
        </w:rPr>
      </w:pPr>
    </w:p>
    <w:p w14:paraId="5D47DD4C" w14:textId="77777777" w:rsidR="00C17355" w:rsidRPr="0004203B" w:rsidRDefault="00C17355" w:rsidP="0004203B">
      <w:pPr>
        <w:spacing w:after="120" w:line="240" w:lineRule="auto"/>
        <w:contextualSpacing/>
        <w:rPr>
          <w:rFonts w:ascii="Times New Roman" w:eastAsia="Calibri" w:hAnsi="Times New Roman"/>
          <w:i/>
          <w:szCs w:val="24"/>
          <w:lang w:eastAsia="it-IT"/>
        </w:rPr>
      </w:pPr>
      <w:r w:rsidRPr="0004203B">
        <w:rPr>
          <w:rFonts w:ascii="Times New Roman" w:eastAsia="Calibri" w:hAnsi="Times New Roman"/>
          <w:b/>
          <w:szCs w:val="24"/>
          <w:lang w:eastAsia="it-IT"/>
        </w:rPr>
        <w:t xml:space="preserve">Id.3 Organizzazione del gruppo di progettazione </w:t>
      </w:r>
      <w:r w:rsidRPr="0004203B">
        <w:rPr>
          <w:rFonts w:ascii="Times New Roman" w:eastAsia="Calibri" w:hAnsi="Times New Roman"/>
          <w:i/>
          <w:szCs w:val="24"/>
          <w:lang w:eastAsia="it-IT"/>
        </w:rPr>
        <w:t>(verranno valutate la composizione del gruppo di progettazione e le risorse tecnologiche in fase di progettazione)</w:t>
      </w:r>
    </w:p>
    <w:p w14:paraId="29018627" w14:textId="77777777" w:rsidR="00C17355" w:rsidRPr="0004203B" w:rsidRDefault="00C17355" w:rsidP="0004203B">
      <w:pPr>
        <w:pStyle w:val="Paragrafoelenco"/>
        <w:spacing w:line="240" w:lineRule="auto"/>
        <w:ind w:left="0"/>
        <w:contextualSpacing/>
        <w:rPr>
          <w:rFonts w:ascii="Times New Roman" w:eastAsia="Calibri" w:hAnsi="Times New Roman" w:cs="Times New Roman"/>
          <w:i/>
          <w:szCs w:val="24"/>
          <w:u w:val="single"/>
          <w:lang w:eastAsia="it-IT"/>
        </w:rPr>
      </w:pPr>
      <w:r w:rsidRPr="0004203B">
        <w:rPr>
          <w:rFonts w:ascii="Times New Roman" w:hAnsi="Times New Roman" w:cs="Times New Roman"/>
          <w:i/>
          <w:szCs w:val="24"/>
          <w:u w:val="single"/>
        </w:rPr>
        <w:t>Id.3.1 CV di progettisti architettonici.</w:t>
      </w:r>
    </w:p>
    <w:p w14:paraId="3A843BF8"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7DFD5C9A"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7BD67308"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Id.3.2 CV dei progettisti impianti meccanici.</w:t>
      </w:r>
    </w:p>
    <w:p w14:paraId="6D07FA1B"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6612D5EB"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7BA578CD"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Id.3.3 Descrizione della strumentazione utilizzata in fase di sopralluogo e utilizzo di strumentazione e software in fase di progettazione (eventuali tecnologie BIM).</w:t>
      </w:r>
    </w:p>
    <w:p w14:paraId="161847E9"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3C8B7DCD"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4E65F83D" w14:textId="77777777" w:rsidR="00C17355" w:rsidRPr="0004203B" w:rsidRDefault="00C17355" w:rsidP="0004203B">
      <w:pPr>
        <w:pStyle w:val="Paragrafoelenco"/>
        <w:spacing w:line="240" w:lineRule="auto"/>
        <w:ind w:left="0"/>
        <w:contextualSpacing/>
        <w:rPr>
          <w:rFonts w:ascii="Times New Roman" w:hAnsi="Times New Roman" w:cs="Times New Roman"/>
          <w:szCs w:val="24"/>
        </w:rPr>
      </w:pPr>
    </w:p>
    <w:p w14:paraId="38F1230A" w14:textId="77777777" w:rsidR="00C17355" w:rsidRPr="0004203B" w:rsidRDefault="00C17355" w:rsidP="0004203B">
      <w:pPr>
        <w:spacing w:after="120" w:line="240" w:lineRule="auto"/>
        <w:contextualSpacing/>
        <w:rPr>
          <w:rFonts w:ascii="Times New Roman" w:eastAsia="Calibri" w:hAnsi="Times New Roman"/>
          <w:i/>
          <w:szCs w:val="24"/>
          <w:lang w:eastAsia="it-IT"/>
        </w:rPr>
      </w:pPr>
      <w:r w:rsidRPr="0004203B">
        <w:rPr>
          <w:rFonts w:ascii="Times New Roman" w:eastAsia="Calibri" w:hAnsi="Times New Roman"/>
          <w:b/>
          <w:szCs w:val="24"/>
          <w:lang w:eastAsia="it-IT"/>
        </w:rPr>
        <w:t xml:space="preserve">Id.4 Tempi di esecuzione dei lavori e misure adottate per ridurre le interferenze </w:t>
      </w:r>
      <w:r w:rsidRPr="0004203B">
        <w:rPr>
          <w:rFonts w:ascii="Times New Roman" w:eastAsia="Calibri" w:hAnsi="Times New Roman"/>
          <w:i/>
          <w:szCs w:val="24"/>
          <w:lang w:eastAsia="it-IT"/>
        </w:rPr>
        <w:t xml:space="preserve">(verranno valutate le risorse impegnate al fine di garantire il rispetto delle tempistiche delle fasi dei lavori di </w:t>
      </w:r>
      <w:r w:rsidRPr="0004203B">
        <w:rPr>
          <w:rFonts w:ascii="Times New Roman" w:eastAsia="Calibri" w:hAnsi="Times New Roman"/>
          <w:i/>
          <w:szCs w:val="24"/>
          <w:lang w:eastAsia="it-IT"/>
        </w:rPr>
        <w:lastRenderedPageBreak/>
        <w:t>riqualificazione energetica - lavori che beneficiano d</w:t>
      </w:r>
      <w:r w:rsidR="00B36825" w:rsidRPr="0004203B">
        <w:rPr>
          <w:rFonts w:ascii="Times New Roman" w:eastAsia="Calibri" w:hAnsi="Times New Roman"/>
          <w:i/>
          <w:szCs w:val="24"/>
          <w:lang w:eastAsia="it-IT"/>
        </w:rPr>
        <w:t xml:space="preserve">el </w:t>
      </w:r>
      <w:r w:rsidR="00B36825" w:rsidRPr="001346D6">
        <w:rPr>
          <w:rFonts w:ascii="Times New Roman" w:eastAsia="Calibri" w:hAnsi="Times New Roman"/>
          <w:i/>
          <w:szCs w:val="24"/>
          <w:highlight w:val="yellow"/>
          <w:lang w:eastAsia="it-IT"/>
        </w:rPr>
        <w:t>contributo POR FESR</w:t>
      </w:r>
      <w:r w:rsidRPr="0004203B">
        <w:rPr>
          <w:rFonts w:ascii="Times New Roman" w:eastAsia="Calibri" w:hAnsi="Times New Roman"/>
          <w:i/>
          <w:szCs w:val="24"/>
          <w:lang w:eastAsia="it-IT"/>
        </w:rPr>
        <w:t>; lavori rimanenti entro i tre anni dall’avvio del contratto - e le misure adottate al fine di ridurre le interferenze con le attività istituzionali dell’Accademia)</w:t>
      </w:r>
    </w:p>
    <w:p w14:paraId="15D9F92C" w14:textId="77777777" w:rsidR="00C17355" w:rsidRPr="0004203B" w:rsidRDefault="00C17355" w:rsidP="0004203B">
      <w:pPr>
        <w:pStyle w:val="Paragrafoelenco"/>
        <w:spacing w:line="240" w:lineRule="auto"/>
        <w:ind w:left="0"/>
        <w:contextualSpacing/>
        <w:rPr>
          <w:rFonts w:ascii="Times New Roman" w:eastAsia="Calibri" w:hAnsi="Times New Roman" w:cs="Times New Roman"/>
          <w:i/>
          <w:szCs w:val="24"/>
          <w:u w:val="single"/>
          <w:lang w:eastAsia="it-IT"/>
        </w:rPr>
      </w:pPr>
      <w:r w:rsidRPr="0004203B">
        <w:rPr>
          <w:rFonts w:ascii="Times New Roman" w:hAnsi="Times New Roman" w:cs="Times New Roman"/>
          <w:i/>
          <w:szCs w:val="24"/>
          <w:u w:val="single"/>
        </w:rPr>
        <w:t>Id.4.1 Descrizione delle risorse impiegate qualitative e quantitative e organigramma funzionale del personale dell’organizzazione relativa al cantiere, specificando le relative competenze, con compiti e responsabilità di ciascun ruolo.</w:t>
      </w:r>
    </w:p>
    <w:p w14:paraId="6638CBD9"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2BF12CE2"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5E53A6E7" w14:textId="77777777" w:rsidR="00B36825" w:rsidRPr="0004203B" w:rsidRDefault="00B3682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 xml:space="preserve">Id.4.2 Definizione del cronoprogramma dettagliato delle opere che beneficiano del </w:t>
      </w:r>
      <w:r w:rsidRPr="001346D6">
        <w:rPr>
          <w:rFonts w:ascii="Times New Roman" w:hAnsi="Times New Roman" w:cs="Times New Roman"/>
          <w:i/>
          <w:szCs w:val="24"/>
          <w:highlight w:val="yellow"/>
          <w:u w:val="single"/>
        </w:rPr>
        <w:t>contributo POR FESR</w:t>
      </w:r>
      <w:r w:rsidRPr="0004203B">
        <w:rPr>
          <w:rFonts w:ascii="Times New Roman" w:hAnsi="Times New Roman" w:cs="Times New Roman"/>
          <w:i/>
          <w:szCs w:val="24"/>
          <w:u w:val="single"/>
        </w:rPr>
        <w:t xml:space="preserve"> e misure adottate per la loro esecuzione prioritaria.</w:t>
      </w:r>
    </w:p>
    <w:p w14:paraId="4A36CCBA"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3358C91F"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70288406"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Id.4.3 Definizione del cronoprogramma dettagliato delle opere residue e misure adottate per il rispetto della relativa scadenza dei tre anni dall’avvio del contratto.</w:t>
      </w:r>
    </w:p>
    <w:p w14:paraId="5D5DCB3F"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724B0D78"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4450AFC7"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Id.4.4 Descrizione dell’operatività del cantiere e delle misure finalizzate a minimizzare le interferenze e garantire la continuità di tutte le attività all’interno dell’Accademia durante l’esecuzione dei lavori.</w:t>
      </w:r>
    </w:p>
    <w:p w14:paraId="66743072"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12736660"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702B25FF" w14:textId="77777777" w:rsidR="00C17355" w:rsidRPr="0004203B" w:rsidRDefault="00C17355" w:rsidP="0004203B">
      <w:pPr>
        <w:pStyle w:val="Paragrafoelenco"/>
        <w:spacing w:line="240" w:lineRule="auto"/>
        <w:ind w:left="0"/>
        <w:contextualSpacing/>
        <w:rPr>
          <w:rFonts w:ascii="Times New Roman" w:hAnsi="Times New Roman" w:cs="Times New Roman"/>
          <w:szCs w:val="24"/>
        </w:rPr>
      </w:pPr>
    </w:p>
    <w:p w14:paraId="425D9F86" w14:textId="77777777" w:rsidR="00C17355" w:rsidRPr="0004203B" w:rsidRDefault="00C17355" w:rsidP="0004203B">
      <w:pPr>
        <w:spacing w:after="120" w:line="240" w:lineRule="auto"/>
        <w:contextualSpacing/>
        <w:rPr>
          <w:rFonts w:ascii="Times New Roman" w:eastAsia="Calibri" w:hAnsi="Times New Roman"/>
          <w:i/>
          <w:szCs w:val="24"/>
          <w:lang w:eastAsia="it-IT"/>
        </w:rPr>
      </w:pPr>
      <w:r w:rsidRPr="0004203B">
        <w:rPr>
          <w:rFonts w:ascii="Times New Roman" w:eastAsia="Calibri" w:hAnsi="Times New Roman"/>
          <w:b/>
          <w:szCs w:val="24"/>
          <w:lang w:eastAsia="it-IT"/>
        </w:rPr>
        <w:t>Id.5 Servizio di gestione e monitoraggio impianti</w:t>
      </w:r>
      <w:r w:rsidRPr="0004203B">
        <w:rPr>
          <w:rFonts w:ascii="Times New Roman" w:eastAsia="Calibri" w:hAnsi="Times New Roman"/>
          <w:i/>
          <w:szCs w:val="24"/>
          <w:lang w:eastAsia="it-IT"/>
        </w:rPr>
        <w:t xml:space="preserve"> (Saranno valutate le risorse impegnate per il monitoraggio e le modalità di comunicazione - rapporti periodici verso l’Amministrazione - al fine verificare periodicamente il rispetto dell’obiettivo del contenimento dei consumi energetici. Saranno inoltre valutate le eventuali azioni eseguite nel caso della presenza di consumi critici rispetto quanto indicato dagli obiettivi di contenimento dei consumi energetici e di risparmio energetico.</w:t>
      </w:r>
    </w:p>
    <w:p w14:paraId="1CBDA323" w14:textId="77777777" w:rsidR="00C17355" w:rsidRPr="0004203B" w:rsidRDefault="00C17355" w:rsidP="0004203B">
      <w:pPr>
        <w:pStyle w:val="Paragrafoelenco"/>
        <w:spacing w:line="240" w:lineRule="auto"/>
        <w:ind w:left="0"/>
        <w:contextualSpacing/>
        <w:rPr>
          <w:rFonts w:ascii="Times New Roman" w:eastAsia="Calibri" w:hAnsi="Times New Roman" w:cs="Times New Roman"/>
          <w:i/>
          <w:szCs w:val="24"/>
          <w:u w:val="single"/>
          <w:lang w:eastAsia="it-IT"/>
        </w:rPr>
      </w:pPr>
      <w:r w:rsidRPr="0004203B">
        <w:rPr>
          <w:rFonts w:ascii="Times New Roman" w:hAnsi="Times New Roman" w:cs="Times New Roman"/>
          <w:i/>
          <w:szCs w:val="24"/>
          <w:u w:val="single"/>
        </w:rPr>
        <w:t>Id.5.1 Organizzazione del servizio di gestione e monitoraggio degli impianti, personale impiegato e dotazioni tecnologiche.</w:t>
      </w:r>
    </w:p>
    <w:p w14:paraId="322825D2"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493FB44B"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2BF47445"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Id.5.2 Sistema di contabilizzazione del calore ottimale per la gestione impianto e di rilevazione della temperatura interna e modalità di accessibilità dei dati per l’Amministrazione.</w:t>
      </w:r>
    </w:p>
    <w:p w14:paraId="5C1D386E"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680ACB18"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011E5095"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Id.5.3 Analisi in regime dinamico sulla regolazione dei diversi ambienti al fine di garantire il comfort per gli occupanti e la temperatura ottimale in termini di risparmio energetico.</w:t>
      </w:r>
    </w:p>
    <w:p w14:paraId="03061716"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1BB047E4"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54C2AAD6" w14:textId="77777777" w:rsidR="00C17355" w:rsidRPr="0004203B" w:rsidRDefault="00C17355" w:rsidP="0004203B">
      <w:pPr>
        <w:pStyle w:val="Paragrafoelenco"/>
        <w:spacing w:line="240" w:lineRule="auto"/>
        <w:ind w:left="0"/>
        <w:contextualSpacing/>
        <w:rPr>
          <w:rFonts w:ascii="Times New Roman" w:hAnsi="Times New Roman" w:cs="Times New Roman"/>
          <w:i/>
          <w:szCs w:val="24"/>
          <w:u w:val="single"/>
        </w:rPr>
      </w:pPr>
      <w:r w:rsidRPr="0004203B">
        <w:rPr>
          <w:rFonts w:ascii="Times New Roman" w:hAnsi="Times New Roman" w:cs="Times New Roman"/>
          <w:i/>
          <w:szCs w:val="24"/>
          <w:u w:val="single"/>
        </w:rPr>
        <w:t>Id.5.4 Sistema di monitoraggio dei consumi, eventuali azioni previste nel caso della presenza di consumi critici rispetto quanto indicato dagli obiettivi di contenimento dei consumi energetici e modalità di accessibilità dei dati per l’Amministrazione.</w:t>
      </w:r>
    </w:p>
    <w:p w14:paraId="4B20BD5A"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420D138A" w14:textId="77777777" w:rsidR="00C17355" w:rsidRPr="0004203B" w:rsidRDefault="00C17355" w:rsidP="0004203B">
      <w:pPr>
        <w:pStyle w:val="Paragrafoelenco"/>
        <w:spacing w:line="240" w:lineRule="auto"/>
        <w:ind w:left="0"/>
        <w:contextualSpacing/>
        <w:rPr>
          <w:rFonts w:ascii="Times New Roman" w:hAnsi="Times New Roman" w:cs="Times New Roman"/>
          <w:i/>
          <w:szCs w:val="24"/>
        </w:rPr>
      </w:pPr>
      <w:r w:rsidRPr="0004203B">
        <w:rPr>
          <w:rFonts w:ascii="Times New Roman" w:hAnsi="Times New Roman" w:cs="Times New Roman"/>
          <w:i/>
          <w:szCs w:val="24"/>
        </w:rPr>
        <w:t>…………………………………………………………………………</w:t>
      </w:r>
    </w:p>
    <w:p w14:paraId="0AB379EA" w14:textId="77777777" w:rsidR="00C163C5" w:rsidRPr="0004203B" w:rsidRDefault="00C163C5" w:rsidP="0004203B">
      <w:pPr>
        <w:spacing w:line="240" w:lineRule="auto"/>
        <w:contextualSpacing/>
        <w:rPr>
          <w:rFonts w:ascii="Times New Roman" w:hAnsi="Times New Roman"/>
          <w:szCs w:val="24"/>
        </w:rPr>
      </w:pPr>
    </w:p>
    <w:sectPr w:rsidR="00C163C5" w:rsidRPr="0004203B" w:rsidSect="006B4421">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421"/>
    <w:rsid w:val="0004203B"/>
    <w:rsid w:val="001346D6"/>
    <w:rsid w:val="001633D0"/>
    <w:rsid w:val="00564590"/>
    <w:rsid w:val="006B4421"/>
    <w:rsid w:val="006E175E"/>
    <w:rsid w:val="007C3C0A"/>
    <w:rsid w:val="00822E7A"/>
    <w:rsid w:val="00B36825"/>
    <w:rsid w:val="00B541C5"/>
    <w:rsid w:val="00C163C5"/>
    <w:rsid w:val="00C17355"/>
    <w:rsid w:val="00DC2DD1"/>
    <w:rsid w:val="00E05B92"/>
    <w:rsid w:val="00E40A06"/>
    <w:rsid w:val="00E475C6"/>
    <w:rsid w:val="00E67C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3E76A"/>
  <w15:chartTrackingRefBased/>
  <w15:docId w15:val="{450BF823-7641-484A-B500-1F398B94E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B4421"/>
    <w:pPr>
      <w:spacing w:after="0" w:line="276" w:lineRule="auto"/>
      <w:jc w:val="both"/>
    </w:pPr>
    <w:rPr>
      <w:rFonts w:ascii="Garamond" w:eastAsia="Times New Roman" w:hAnsi="Garamond" w:cs="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basedOn w:val="Carpredefinitoparagrafo"/>
    <w:link w:val="Paragrafoelenco"/>
    <w:uiPriority w:val="1"/>
    <w:locked/>
    <w:rsid w:val="006B4421"/>
    <w:rPr>
      <w:rFonts w:ascii="Garamond" w:hAnsi="Garamond"/>
      <w:sz w:val="24"/>
    </w:rPr>
  </w:style>
  <w:style w:type="paragraph" w:styleId="Paragrafoelenco">
    <w:name w:val="List Paragraph"/>
    <w:basedOn w:val="Normale"/>
    <w:link w:val="ParagrafoelencoCarattere"/>
    <w:uiPriority w:val="1"/>
    <w:qFormat/>
    <w:rsid w:val="006B4421"/>
    <w:pPr>
      <w:ind w:left="720"/>
    </w:pPr>
    <w:rPr>
      <w:rFonts w:eastAsia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531218">
      <w:bodyDiv w:val="1"/>
      <w:marLeft w:val="0"/>
      <w:marRight w:val="0"/>
      <w:marTop w:val="0"/>
      <w:marBottom w:val="0"/>
      <w:divBdr>
        <w:top w:val="none" w:sz="0" w:space="0" w:color="auto"/>
        <w:left w:val="none" w:sz="0" w:space="0" w:color="auto"/>
        <w:bottom w:val="none" w:sz="0" w:space="0" w:color="auto"/>
        <w:right w:val="none" w:sz="0" w:space="0" w:color="auto"/>
      </w:divBdr>
    </w:div>
    <w:div w:id="1986427926">
      <w:bodyDiv w:val="1"/>
      <w:marLeft w:val="0"/>
      <w:marRight w:val="0"/>
      <w:marTop w:val="0"/>
      <w:marBottom w:val="0"/>
      <w:divBdr>
        <w:top w:val="none" w:sz="0" w:space="0" w:color="auto"/>
        <w:left w:val="none" w:sz="0" w:space="0" w:color="auto"/>
        <w:bottom w:val="none" w:sz="0" w:space="0" w:color="auto"/>
        <w:right w:val="none" w:sz="0" w:space="0" w:color="auto"/>
      </w:divBdr>
    </w:div>
    <w:div w:id="205535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859</Words>
  <Characters>4900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Salimbeni, Massimiliano - GENIODIFE</dc:creator>
  <cp:keywords/>
  <dc:description/>
  <cp:lastModifiedBy>Massimiliano Massimiliano</cp:lastModifiedBy>
  <cp:revision>5</cp:revision>
  <dcterms:created xsi:type="dcterms:W3CDTF">2020-02-04T10:10:00Z</dcterms:created>
  <dcterms:modified xsi:type="dcterms:W3CDTF">2020-05-20T16:03:00Z</dcterms:modified>
</cp:coreProperties>
</file>