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Borders>
          <w:top w:val="single" w:sz="8" w:space="0" w:color="000000"/>
          <w:bottom w:val="single" w:sz="8" w:space="0" w:color="000000"/>
        </w:tblBorders>
        <w:tblLook w:val="04A0" w:firstRow="1" w:lastRow="0" w:firstColumn="1" w:lastColumn="0" w:noHBand="0" w:noVBand="1"/>
      </w:tblPr>
      <w:tblGrid>
        <w:gridCol w:w="10056"/>
      </w:tblGrid>
      <w:tr w:rsidR="001D68F0" w14:paraId="4DD78DBA" w14:textId="77777777" w:rsidTr="001D68F0">
        <w:trPr>
          <w:trHeight w:val="1020"/>
        </w:trPr>
        <w:tc>
          <w:tcPr>
            <w:tcW w:w="10056" w:type="dxa"/>
            <w:tcBorders>
              <w:top w:val="single" w:sz="8" w:space="0" w:color="000000"/>
              <w:left w:val="nil"/>
              <w:bottom w:val="single" w:sz="8" w:space="0" w:color="000000"/>
              <w:right w:val="nil"/>
            </w:tcBorders>
            <w:shd w:val="clear" w:color="auto" w:fill="C0C0C0"/>
            <w:vAlign w:val="center"/>
            <w:hideMark/>
          </w:tcPr>
          <w:p w14:paraId="58018852" w14:textId="77777777" w:rsidR="001D68F0" w:rsidRDefault="001D68F0">
            <w:pPr>
              <w:keepNext/>
              <w:keepLines/>
              <w:spacing w:before="100" w:beforeAutospacing="1"/>
              <w:jc w:val="center"/>
              <w:outlineLvl w:val="0"/>
              <w:rPr>
                <w:rFonts w:asciiTheme="minorHAnsi" w:eastAsia="Calibri" w:hAnsiTheme="minorHAnsi"/>
                <w:b/>
                <w:bCs/>
                <w:sz w:val="28"/>
                <w:szCs w:val="28"/>
                <w:lang w:val="x-none" w:eastAsia="x-none"/>
              </w:rPr>
            </w:pPr>
            <w:bookmarkStart w:id="0" w:name="_ALLEGATO_B_"/>
            <w:bookmarkStart w:id="1" w:name="_ALLEGATO_S_"/>
            <w:bookmarkStart w:id="2" w:name="_Toc414537348"/>
            <w:bookmarkStart w:id="3" w:name="_Toc414537606"/>
            <w:bookmarkStart w:id="4" w:name="_Toc419708971"/>
            <w:bookmarkStart w:id="5" w:name="_Toc422322848"/>
            <w:bookmarkStart w:id="6" w:name="_Ref16072004"/>
            <w:bookmarkStart w:id="7" w:name="_Toc18488506"/>
            <w:bookmarkStart w:id="8" w:name="_Toc20219990"/>
            <w:bookmarkEnd w:id="0"/>
            <w:bookmarkEnd w:id="1"/>
            <w:r>
              <w:rPr>
                <w:rFonts w:asciiTheme="minorHAnsi" w:eastAsia="Calibri" w:hAnsiTheme="minorHAnsi"/>
                <w:b/>
                <w:sz w:val="28"/>
                <w:szCs w:val="28"/>
                <w:lang w:val="x-none" w:eastAsia="x-none"/>
              </w:rPr>
              <w:t>ALLEGATO B</w:t>
            </w:r>
            <w:r>
              <w:rPr>
                <w:rFonts w:asciiTheme="minorHAnsi" w:eastAsia="Calibri" w:hAnsiTheme="minorHAnsi"/>
                <w:bCs/>
                <w:sz w:val="28"/>
                <w:szCs w:val="28"/>
                <w:lang w:val="x-none" w:eastAsia="x-none"/>
              </w:rPr>
              <w:t xml:space="preserve">   </w:t>
            </w:r>
            <w:r>
              <w:rPr>
                <w:rFonts w:asciiTheme="minorHAnsi" w:eastAsia="Calibri" w:hAnsiTheme="minorHAnsi"/>
                <w:b/>
                <w:bCs/>
                <w:sz w:val="28"/>
                <w:szCs w:val="28"/>
                <w:lang w:val="x-none" w:eastAsia="x-none"/>
              </w:rPr>
              <w:t>- PATTO DI INTEGRITA’</w:t>
            </w:r>
            <w:bookmarkEnd w:id="2"/>
            <w:bookmarkEnd w:id="3"/>
            <w:bookmarkEnd w:id="4"/>
            <w:bookmarkEnd w:id="5"/>
            <w:bookmarkEnd w:id="6"/>
            <w:bookmarkEnd w:id="7"/>
            <w:bookmarkEnd w:id="8"/>
          </w:p>
        </w:tc>
      </w:tr>
    </w:tbl>
    <w:p w14:paraId="6164ED8A" w14:textId="77777777" w:rsidR="001D68F0" w:rsidRDefault="001D68F0" w:rsidP="001D68F0">
      <w:pPr>
        <w:widowControl w:val="0"/>
        <w:spacing w:line="240" w:lineRule="auto"/>
        <w:jc w:val="left"/>
        <w:rPr>
          <w:rFonts w:asciiTheme="minorHAnsi" w:hAnsiTheme="minorHAnsi"/>
          <w:sz w:val="20"/>
        </w:rPr>
      </w:pPr>
    </w:p>
    <w:p w14:paraId="77F9A038" w14:textId="77777777" w:rsidR="001D68F0" w:rsidRDefault="001D68F0" w:rsidP="001D68F0">
      <w:pPr>
        <w:widowControl w:val="0"/>
        <w:spacing w:line="240" w:lineRule="auto"/>
        <w:rPr>
          <w:rFonts w:asciiTheme="minorHAnsi" w:hAnsiTheme="minorHAnsi"/>
          <w:sz w:val="20"/>
        </w:rPr>
      </w:pPr>
      <w:r>
        <w:rPr>
          <w:rFonts w:asciiTheme="minorHAnsi" w:hAnsiTheme="minorHAnsi"/>
          <w:b/>
          <w:bCs/>
          <w:sz w:val="20"/>
        </w:rPr>
        <w:t xml:space="preserve">Il presente Patto di integrità disponibile sul sito </w:t>
      </w:r>
      <w:r>
        <w:rPr>
          <w:rFonts w:asciiTheme="minorHAnsi" w:hAnsiTheme="minorHAnsi"/>
          <w:b/>
          <w:bCs/>
          <w:color w:val="0000FF"/>
          <w:sz w:val="20"/>
          <w:u w:val="single"/>
        </w:rPr>
        <w:t>www.difesa.it/SGD-DNA/Staff/DT/GENIODIFE/Bandi</w:t>
      </w:r>
      <w:r>
        <w:rPr>
          <w:rFonts w:asciiTheme="minorHAnsi" w:hAnsiTheme="minorHAnsi"/>
          <w:b/>
          <w:bCs/>
          <w:sz w:val="20"/>
        </w:rPr>
        <w:t xml:space="preserve"> e sul sito </w:t>
      </w:r>
      <w:hyperlink r:id="rId9" w:history="1">
        <w:r>
          <w:rPr>
            <w:rStyle w:val="Collegamentoipertestuale"/>
            <w:b/>
            <w:bCs/>
            <w:sz w:val="20"/>
          </w:rPr>
          <w:t>www.acquistinretepa.it</w:t>
        </w:r>
      </w:hyperlink>
      <w:r>
        <w:rPr>
          <w:rFonts w:asciiTheme="minorHAnsi" w:hAnsiTheme="minorHAnsi"/>
          <w:b/>
          <w:bCs/>
          <w:sz w:val="20"/>
        </w:rPr>
        <w:t xml:space="preserve"> , una volta compilato (a mano o dattiloscritto) dovrà 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E84836C" w14:textId="77777777" w:rsidR="001D68F0" w:rsidRDefault="001D68F0" w:rsidP="001D68F0">
      <w:pPr>
        <w:widowControl w:val="0"/>
        <w:spacing w:line="240" w:lineRule="auto"/>
        <w:jc w:val="left"/>
        <w:rPr>
          <w:rFonts w:asciiTheme="minorHAnsi" w:hAnsiTheme="minorHAnsi"/>
          <w:sz w:val="20"/>
        </w:rPr>
      </w:pPr>
    </w:p>
    <w:p w14:paraId="7CB2A278" w14:textId="77777777" w:rsidR="001D68F0" w:rsidRDefault="001D68F0" w:rsidP="001D68F0">
      <w:pPr>
        <w:widowControl w:val="0"/>
        <w:spacing w:line="240" w:lineRule="auto"/>
        <w:jc w:val="left"/>
        <w:rPr>
          <w:rFonts w:asciiTheme="minorHAnsi" w:hAnsiTheme="minorHAnsi"/>
          <w:sz w:val="20"/>
        </w:rPr>
      </w:pPr>
    </w:p>
    <w:p w14:paraId="6C0FC66F"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SEGRETARIATO GENERALE DELLA DIFESA E DIREZIONE NAZIONALE DEGLI ARMAMENTI</w:t>
      </w:r>
    </w:p>
    <w:p w14:paraId="343C7F72"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 xml:space="preserve">Direzione dei Lavori e del Demanio - 2^ Divisione </w:t>
      </w:r>
    </w:p>
    <w:p w14:paraId="0FF1FA47"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 xml:space="preserve">Piazza della Marina, 4 </w:t>
      </w:r>
    </w:p>
    <w:p w14:paraId="511B42AB"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00196-  ROMA</w:t>
      </w:r>
    </w:p>
    <w:p w14:paraId="1DD981E6" w14:textId="77777777" w:rsidR="001D68F0" w:rsidRDefault="001D68F0" w:rsidP="001D68F0">
      <w:pPr>
        <w:widowControl w:val="0"/>
        <w:spacing w:line="240" w:lineRule="auto"/>
        <w:jc w:val="left"/>
        <w:rPr>
          <w:rFonts w:asciiTheme="minorHAnsi" w:hAnsiTheme="minorHAnsi"/>
          <w:sz w:val="20"/>
        </w:rPr>
      </w:pPr>
    </w:p>
    <w:p w14:paraId="3C591DFC" w14:textId="77777777" w:rsidR="001D68F0" w:rsidRDefault="001D68F0" w:rsidP="001D68F0">
      <w:pPr>
        <w:widowControl w:val="0"/>
        <w:spacing w:line="240" w:lineRule="auto"/>
        <w:rPr>
          <w:rFonts w:asciiTheme="minorHAnsi" w:hAnsiTheme="minorHAnsi"/>
          <w:sz w:val="20"/>
          <w:szCs w:val="20"/>
        </w:rPr>
      </w:pPr>
      <w:r>
        <w:rPr>
          <w:rFonts w:asciiTheme="minorHAnsi" w:hAnsiTheme="minorHAnsi"/>
          <w:sz w:val="20"/>
          <w:szCs w:val="20"/>
        </w:rPr>
        <w:t>OGGETTO: Codice Esigenza n 119417 procedura per l‘affidamento del servizio di progettazione esecutiva compreso il piano di sicurezza e coordinamento dei lavori di realizzazione di una palazzina da 96 posti letto per alloggi volontari dell’esercito – Caserma San Martino – Mantova. Importo a base di gara Euro 216.077,78 (IVA e INARCASSA esclusi).</w:t>
      </w:r>
    </w:p>
    <w:p w14:paraId="41E026B0" w14:textId="77777777" w:rsidR="001D68F0" w:rsidRDefault="001D68F0" w:rsidP="001D68F0">
      <w:pPr>
        <w:widowControl w:val="0"/>
        <w:spacing w:line="240" w:lineRule="auto"/>
        <w:jc w:val="left"/>
        <w:rPr>
          <w:rFonts w:asciiTheme="minorHAnsi" w:hAnsiTheme="minorHAnsi"/>
          <w:sz w:val="20"/>
        </w:rPr>
      </w:pPr>
    </w:p>
    <w:p w14:paraId="4F38F51E" w14:textId="77777777" w:rsidR="001D68F0" w:rsidRDefault="001D68F0" w:rsidP="001D68F0">
      <w:pPr>
        <w:widowControl w:val="0"/>
        <w:spacing w:line="240" w:lineRule="auto"/>
        <w:jc w:val="center"/>
        <w:rPr>
          <w:rFonts w:asciiTheme="minorHAnsi" w:hAnsiTheme="minorHAnsi"/>
          <w:sz w:val="20"/>
        </w:rPr>
      </w:pPr>
      <w:r>
        <w:rPr>
          <w:rFonts w:asciiTheme="minorHAnsi" w:hAnsiTheme="minorHAnsi"/>
          <w:sz w:val="20"/>
        </w:rPr>
        <w:t>PATTO DI INTEGRITA’</w:t>
      </w:r>
    </w:p>
    <w:p w14:paraId="57206F2A" w14:textId="77777777" w:rsidR="001D68F0" w:rsidRDefault="001D68F0" w:rsidP="001D68F0">
      <w:pPr>
        <w:widowControl w:val="0"/>
        <w:spacing w:line="240" w:lineRule="auto"/>
        <w:jc w:val="center"/>
        <w:rPr>
          <w:rFonts w:asciiTheme="minorHAnsi" w:hAnsiTheme="minorHAnsi"/>
          <w:sz w:val="20"/>
        </w:rPr>
      </w:pPr>
      <w:r>
        <w:rPr>
          <w:rFonts w:asciiTheme="minorHAnsi" w:hAnsiTheme="minorHAnsi"/>
          <w:sz w:val="20"/>
        </w:rPr>
        <w:t>TRA MINISTERO DELLA DIFESA</w:t>
      </w:r>
    </w:p>
    <w:p w14:paraId="12559459" w14:textId="77777777" w:rsidR="001D68F0" w:rsidRDefault="001D68F0" w:rsidP="001D68F0">
      <w:pPr>
        <w:widowControl w:val="0"/>
        <w:spacing w:line="240" w:lineRule="auto"/>
        <w:jc w:val="center"/>
        <w:rPr>
          <w:rFonts w:asciiTheme="minorHAnsi" w:hAnsiTheme="minorHAnsi"/>
          <w:sz w:val="20"/>
        </w:rPr>
      </w:pPr>
      <w:r>
        <w:rPr>
          <w:rFonts w:asciiTheme="minorHAnsi" w:hAnsiTheme="minorHAnsi"/>
          <w:sz w:val="20"/>
        </w:rPr>
        <w:t>SEGRETARIATO GENERALE DELLA DIFESA E DIREZIONE NAZIONALE DEGLI ARMAMENTI</w:t>
      </w:r>
    </w:p>
    <w:p w14:paraId="7828D7FF" w14:textId="77777777" w:rsidR="001D68F0" w:rsidRDefault="001D68F0" w:rsidP="001D68F0">
      <w:pPr>
        <w:widowControl w:val="0"/>
        <w:spacing w:line="240" w:lineRule="auto"/>
        <w:jc w:val="center"/>
        <w:rPr>
          <w:rFonts w:asciiTheme="minorHAnsi" w:hAnsiTheme="minorHAnsi"/>
          <w:sz w:val="20"/>
        </w:rPr>
      </w:pPr>
      <w:r>
        <w:rPr>
          <w:rFonts w:asciiTheme="minorHAnsi" w:hAnsiTheme="minorHAnsi"/>
          <w:sz w:val="20"/>
        </w:rPr>
        <w:t>DIREZIONE DEI LAVORI E DEL DEMANIO</w:t>
      </w:r>
    </w:p>
    <w:p w14:paraId="51F33E48" w14:textId="77777777" w:rsidR="001D68F0" w:rsidRDefault="001D68F0" w:rsidP="001D68F0">
      <w:pPr>
        <w:widowControl w:val="0"/>
        <w:spacing w:line="240" w:lineRule="auto"/>
        <w:jc w:val="center"/>
        <w:rPr>
          <w:rFonts w:asciiTheme="minorHAnsi" w:hAnsiTheme="minorHAnsi"/>
          <w:sz w:val="20"/>
        </w:rPr>
      </w:pPr>
      <w:r>
        <w:rPr>
          <w:rFonts w:asciiTheme="minorHAnsi" w:hAnsiTheme="minorHAnsi"/>
          <w:sz w:val="20"/>
        </w:rPr>
        <w:t>E</w:t>
      </w:r>
    </w:p>
    <w:p w14:paraId="7BA938AE" w14:textId="77777777" w:rsidR="001D68F0" w:rsidRDefault="001D68F0" w:rsidP="001D68F0">
      <w:pPr>
        <w:widowControl w:val="0"/>
        <w:spacing w:line="240" w:lineRule="auto"/>
        <w:jc w:val="left"/>
        <w:rPr>
          <w:rFonts w:asciiTheme="minorHAnsi" w:hAnsiTheme="minorHAnsi"/>
          <w:sz w:val="20"/>
        </w:rPr>
      </w:pPr>
    </w:p>
    <w:p w14:paraId="25F053F6"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0FD1DBD0" w14:textId="77777777" w:rsidR="001D68F0" w:rsidRDefault="001D68F0" w:rsidP="001D68F0">
      <w:pPr>
        <w:widowControl w:val="0"/>
        <w:spacing w:line="240" w:lineRule="auto"/>
        <w:jc w:val="left"/>
        <w:rPr>
          <w:rFonts w:asciiTheme="minorHAnsi" w:hAnsiTheme="minorHAnsi"/>
          <w:sz w:val="20"/>
        </w:rPr>
      </w:pPr>
    </w:p>
    <w:p w14:paraId="00EA6D11"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VISTO</w:t>
      </w:r>
    </w:p>
    <w:p w14:paraId="3C66E8FD"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la Legge 6 novembre 2012 n. 190, art. 1, comma 17 recante “Disposizioni per la prevenzione e la repressione della corruzione e dell'illegalità nella pubblica amministrazione;</w:t>
      </w:r>
    </w:p>
    <w:p w14:paraId="5304F426" w14:textId="0FA39CE2"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il Piano Nazionale Anticorruzione (P.N.A.) emanato dall’Autorità Nazionale AntiCorruzione e per la valutazione e la trasparenza delle</w:t>
      </w:r>
      <w:r w:rsidR="008277D7">
        <w:rPr>
          <w:rFonts w:asciiTheme="minorHAnsi" w:hAnsiTheme="minorHAnsi"/>
          <w:sz w:val="20"/>
        </w:rPr>
        <w:t xml:space="preserve"> amministrazioni pubbliche (ex </w:t>
      </w:r>
      <w:bookmarkStart w:id="9" w:name="_GoBack"/>
      <w:bookmarkEnd w:id="9"/>
      <w:r>
        <w:rPr>
          <w:rFonts w:asciiTheme="minorHAnsi" w:hAnsiTheme="minorHAnsi"/>
          <w:sz w:val="20"/>
        </w:rPr>
        <w:t>CIVIT) approvato con delibera n. 72/2013, contenente “Disposizioni per la prevenzione e la repressione della corruzione e dell’illegalità nella pubblica amministrazione”;</w:t>
      </w:r>
    </w:p>
    <w:p w14:paraId="00172AA1"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 xml:space="preserve"> -</w:t>
      </w:r>
      <w:r>
        <w:rPr>
          <w:rFonts w:asciiTheme="minorHAnsi" w:hAnsiTheme="minorHAnsi"/>
          <w:sz w:val="20"/>
        </w:rPr>
        <w:tab/>
        <w:t xml:space="preserve"> il decreto Legislativo 14 marzo 2013, n. 33 avente per oggetto il “Riordino della disciplina riguardante gli obblighi di pubblicità, trasparenza e diffusione delle informazioni da parte delle pubbliche amministrazioni”;</w:t>
      </w:r>
    </w:p>
    <w:p w14:paraId="13CB0748"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 xml:space="preserve">- </w:t>
      </w:r>
      <w:r>
        <w:rPr>
          <w:rFonts w:asciiTheme="minorHAnsi" w:hAnsiTheme="minorHAnsi"/>
          <w:sz w:val="20"/>
        </w:rPr>
        <w:tab/>
        <w:t xml:space="preserve">il Decreto del Presidente della Repubblica 16 aprile 2013, n. 62 con il quale è stato emanato il </w:t>
      </w:r>
    </w:p>
    <w:p w14:paraId="6EE30FC0"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“Regolamento recante il codice di comportamento dei dipendenti pubblici”;</w:t>
      </w:r>
    </w:p>
    <w:p w14:paraId="17E021E5" w14:textId="77777777" w:rsidR="001D68F0" w:rsidRDefault="001D68F0" w:rsidP="00007FBB">
      <w:pPr>
        <w:widowControl w:val="0"/>
        <w:numPr>
          <w:ilvl w:val="0"/>
          <w:numId w:val="12"/>
        </w:numPr>
        <w:spacing w:line="240" w:lineRule="auto"/>
        <w:rPr>
          <w:rFonts w:asciiTheme="minorHAnsi" w:hAnsiTheme="minorHAnsi"/>
          <w:sz w:val="20"/>
        </w:rPr>
      </w:pPr>
      <w:r>
        <w:rPr>
          <w:rFonts w:asciiTheme="minorHAnsi" w:hAnsiTheme="minorHAnsi"/>
          <w:sz w:val="20"/>
        </w:rPr>
        <w:t>Il “Codice di comportamento dei dipendenti del Ministero della Difesa”, approvato dal Ministro della Difesa il 29 gennaio 2014;</w:t>
      </w:r>
    </w:p>
    <w:p w14:paraId="0C811A3F" w14:textId="77777777" w:rsidR="001D68F0" w:rsidRDefault="001D68F0" w:rsidP="00007FBB">
      <w:pPr>
        <w:widowControl w:val="0"/>
        <w:numPr>
          <w:ilvl w:val="0"/>
          <w:numId w:val="12"/>
        </w:numPr>
        <w:spacing w:line="240" w:lineRule="auto"/>
        <w:rPr>
          <w:rFonts w:asciiTheme="minorHAnsi" w:hAnsiTheme="minorHAnsi"/>
          <w:sz w:val="20"/>
        </w:rPr>
      </w:pPr>
      <w:r>
        <w:rPr>
          <w:rFonts w:asciiTheme="minorHAnsi" w:hAnsiTheme="minorHAnsi"/>
          <w:sz w:val="20"/>
        </w:rPr>
        <w:t>Il decreto- legge 24 giugno 2014, n. 90 recante “Misure urgenti per la semplificazione e la trasparenza amministrativa e per l’efficienza degli uffici giudiziari”, convertito con modificazioni dalla Legge 11 agosto 2014, n. 114;</w:t>
      </w:r>
    </w:p>
    <w:p w14:paraId="4FD8A460" w14:textId="77777777" w:rsidR="001D68F0" w:rsidRDefault="001D68F0" w:rsidP="00007FBB">
      <w:pPr>
        <w:widowControl w:val="0"/>
        <w:numPr>
          <w:ilvl w:val="0"/>
          <w:numId w:val="12"/>
        </w:numPr>
        <w:spacing w:line="240" w:lineRule="auto"/>
        <w:rPr>
          <w:rFonts w:asciiTheme="minorHAnsi" w:hAnsiTheme="minorHAnsi"/>
          <w:sz w:val="20"/>
        </w:rPr>
      </w:pPr>
      <w:r>
        <w:rPr>
          <w:rFonts w:asciiTheme="minorHAnsi" w:hAnsiTheme="minorHAnsi"/>
          <w:sz w:val="20"/>
        </w:rPr>
        <w:t>Il Protocollo di intesa siglato tra il Ministero dell’Interno e l’Autorità Nazionale Anticorruzione il 15 luglio 2014;</w:t>
      </w:r>
    </w:p>
    <w:p w14:paraId="4526C746" w14:textId="77777777" w:rsidR="001D68F0" w:rsidRDefault="001D68F0" w:rsidP="00007FBB">
      <w:pPr>
        <w:widowControl w:val="0"/>
        <w:numPr>
          <w:ilvl w:val="0"/>
          <w:numId w:val="12"/>
        </w:numPr>
        <w:spacing w:line="240" w:lineRule="auto"/>
        <w:rPr>
          <w:rFonts w:asciiTheme="minorHAnsi" w:hAnsiTheme="minorHAnsi"/>
          <w:sz w:val="20"/>
        </w:rPr>
      </w:pPr>
      <w:r>
        <w:rPr>
          <w:rFonts w:asciiTheme="minorHAnsi" w:hAnsiTheme="minorHAnsi"/>
          <w:sz w:val="20"/>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7BB79E72" w14:textId="77777777" w:rsidR="001D68F0" w:rsidRDefault="001D68F0" w:rsidP="00007FBB">
      <w:pPr>
        <w:widowControl w:val="0"/>
        <w:numPr>
          <w:ilvl w:val="0"/>
          <w:numId w:val="12"/>
        </w:numPr>
        <w:spacing w:line="240" w:lineRule="auto"/>
        <w:rPr>
          <w:rFonts w:asciiTheme="minorHAnsi" w:hAnsiTheme="minorHAnsi"/>
          <w:sz w:val="20"/>
        </w:rPr>
      </w:pPr>
      <w:r>
        <w:rPr>
          <w:rFonts w:asciiTheme="minorHAnsi" w:hAnsiTheme="minorHAnsi"/>
          <w:sz w:val="20"/>
        </w:rPr>
        <w:t>La Determinazione n. 12 del 28 ottobre 2015 con la quale l’Autorità Nazionale Anticorruzione ha adottato l’aggiornamento 2015 al Piano Nazionale Anticorruzione;</w:t>
      </w:r>
    </w:p>
    <w:p w14:paraId="4E466955" w14:textId="77777777" w:rsidR="001D68F0" w:rsidRDefault="001D68F0" w:rsidP="00007FBB">
      <w:pPr>
        <w:widowControl w:val="0"/>
        <w:numPr>
          <w:ilvl w:val="0"/>
          <w:numId w:val="12"/>
        </w:numPr>
        <w:spacing w:line="240" w:lineRule="auto"/>
        <w:rPr>
          <w:rFonts w:asciiTheme="minorHAnsi" w:hAnsiTheme="minorHAnsi"/>
          <w:sz w:val="20"/>
        </w:rPr>
      </w:pPr>
      <w:r>
        <w:rPr>
          <w:rFonts w:asciiTheme="minorHAnsi" w:hAnsiTheme="minorHAnsi"/>
          <w:sz w:val="20"/>
        </w:rPr>
        <w:t>il Piano Triennale di Prevenzione della Corruzione (P.T.P.C) 2016-2018 del Ministero della Difesa</w:t>
      </w:r>
    </w:p>
    <w:p w14:paraId="7E43CDB2"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SI CONVIENE QUANTO SEGUE</w:t>
      </w:r>
    </w:p>
    <w:p w14:paraId="0A37347B" w14:textId="77777777" w:rsidR="001D68F0" w:rsidRDefault="001D68F0" w:rsidP="001D68F0">
      <w:pPr>
        <w:widowControl w:val="0"/>
        <w:spacing w:line="240" w:lineRule="auto"/>
        <w:rPr>
          <w:rFonts w:asciiTheme="minorHAnsi" w:hAnsiTheme="minorHAnsi"/>
          <w:sz w:val="20"/>
        </w:rPr>
      </w:pPr>
    </w:p>
    <w:p w14:paraId="02E50E41" w14:textId="77777777" w:rsidR="001D68F0" w:rsidRDefault="001D68F0" w:rsidP="001D68F0">
      <w:pPr>
        <w:widowControl w:val="0"/>
        <w:spacing w:line="240" w:lineRule="auto"/>
        <w:rPr>
          <w:rFonts w:asciiTheme="minorHAnsi" w:hAnsiTheme="minorHAnsi"/>
          <w:sz w:val="20"/>
        </w:rPr>
      </w:pPr>
      <w:r>
        <w:rPr>
          <w:rFonts w:asciiTheme="minorHAnsi" w:hAnsiTheme="minorHAnsi"/>
          <w:b/>
          <w:sz w:val="20"/>
        </w:rPr>
        <w:t>Art. 1</w:t>
      </w:r>
      <w:r>
        <w:rPr>
          <w:rFonts w:asciiTheme="minorHAnsi" w:hAnsiTheme="minorHAnsi"/>
          <w:sz w:val="20"/>
        </w:rPr>
        <w:t xml:space="preserve"> - Il presente Patto d’integrità stabilisce la formale obbligazione dell’operatore economico che, ai fini della partecipazione alla gara in oggetto, si impegna:</w:t>
      </w:r>
    </w:p>
    <w:p w14:paraId="2860969A"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C7E5443"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35734F4E"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ad assicurare che non si è accordata e non si accorderà con altri partecipanti alla gara per limitare o eludere la concorrenza;</w:t>
      </w:r>
    </w:p>
    <w:p w14:paraId="23B62952"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ad informare puntualmente tutto il personale, di cui si avvale, del presente Patto di integrità e degli obblighi in esso contenuti;</w:t>
      </w:r>
    </w:p>
    <w:p w14:paraId="1E5BFB4B"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a vigilare affinché gli impegni sopra indicati siano osservati da tutti i collaboratori e dipendenti nell’esercizio dei compiti loro assegnati;</w:t>
      </w:r>
    </w:p>
    <w:p w14:paraId="49C4312E"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a denunciare alla Pubblica Autorità competente ogni irregolarità o distorsione di cui sia venuta a conoscenza per quanto attiene l’attività di cui all’oggetto della gara in causa.</w:t>
      </w:r>
    </w:p>
    <w:p w14:paraId="069F8FC0" w14:textId="77777777" w:rsidR="001D68F0" w:rsidRDefault="001D68F0" w:rsidP="001D68F0">
      <w:pPr>
        <w:widowControl w:val="0"/>
        <w:spacing w:line="240" w:lineRule="auto"/>
        <w:rPr>
          <w:rFonts w:asciiTheme="minorHAnsi" w:hAnsiTheme="minorHAnsi"/>
          <w:sz w:val="20"/>
        </w:rPr>
      </w:pPr>
      <w:r>
        <w:rPr>
          <w:rFonts w:asciiTheme="minorHAnsi" w:hAnsiTheme="minorHAnsi"/>
          <w:b/>
          <w:sz w:val="20"/>
        </w:rPr>
        <w:t>Art. 2</w:t>
      </w:r>
      <w:r>
        <w:rPr>
          <w:rFonts w:asciiTheme="minorHAnsi" w:hAnsiTheme="minorHAnsi"/>
          <w:sz w:val="20"/>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325A6AA7"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esclusione del concorrente dalla gara;</w:t>
      </w:r>
    </w:p>
    <w:p w14:paraId="51BA6175"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escussione della cauzione di validità dell’offerta;</w:t>
      </w:r>
    </w:p>
    <w:p w14:paraId="7639A8B5"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risoluzione del contratto;</w:t>
      </w:r>
    </w:p>
    <w:p w14:paraId="1D0A147A"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escussione della cauzione di buona esecuzione del contratto;</w:t>
      </w:r>
    </w:p>
    <w:p w14:paraId="26C05561"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 xml:space="preserve">esclusione del concorrente dalle gare indette dalla stazione appaltante per 5 anni. </w:t>
      </w:r>
    </w:p>
    <w:p w14:paraId="3B982189" w14:textId="77777777" w:rsidR="001D68F0" w:rsidRDefault="001D68F0" w:rsidP="001D68F0">
      <w:pPr>
        <w:widowControl w:val="0"/>
        <w:spacing w:line="240" w:lineRule="auto"/>
        <w:rPr>
          <w:rFonts w:asciiTheme="minorHAnsi" w:hAnsiTheme="minorHAnsi"/>
          <w:sz w:val="20"/>
        </w:rPr>
      </w:pPr>
      <w:r>
        <w:rPr>
          <w:rFonts w:asciiTheme="minorHAnsi" w:hAnsiTheme="minorHAnsi"/>
          <w:b/>
          <w:bCs/>
          <w:sz w:val="20"/>
        </w:rPr>
        <w:t xml:space="preserve">Art. 3 – </w:t>
      </w:r>
      <w:r>
        <w:rPr>
          <w:rFonts w:asciiTheme="minorHAnsi" w:hAnsiTheme="minorHAnsi"/>
          <w:sz w:val="20"/>
        </w:rPr>
        <w:t xml:space="preserve">Fermo restando quanto previsto dai precedenti articoli 1 e 2, in aderenza alle prescrizioni in materia di anticorruzione contenute nel d.l. 90/2014 convertito dalla l. 114/2014: </w:t>
      </w:r>
    </w:p>
    <w:p w14:paraId="564B608E"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 xml:space="preserve">- 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24C414FC"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 xml:space="preserve">- 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1165C285"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14:paraId="07E419EC"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54C32FA6"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 xml:space="preserve">Art. 5 -  Il presente Patto di INTEGRITA’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5F07E6FE"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Art. 6 - Ogni controversia relativa all’interpretazione ed esecuzione del Patto d’integrità fra la stazione appaltante e i concorrenti e tra gli stessi concorrenti sarà risolta dall’Autorità Giudiziaria competente.</w:t>
      </w:r>
    </w:p>
    <w:p w14:paraId="4D35897F"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Luogo e data ………………….</w:t>
      </w:r>
      <w:r>
        <w:rPr>
          <w:rFonts w:asciiTheme="minorHAnsi" w:hAnsiTheme="minorHAnsi"/>
          <w:sz w:val="20"/>
        </w:rPr>
        <w:tab/>
      </w:r>
      <w:r>
        <w:rPr>
          <w:rFonts w:asciiTheme="minorHAnsi" w:hAnsiTheme="minorHAnsi"/>
          <w:sz w:val="20"/>
        </w:rPr>
        <w:tab/>
      </w:r>
    </w:p>
    <w:p w14:paraId="19E8A435" w14:textId="77777777" w:rsidR="001D68F0" w:rsidRDefault="001D68F0" w:rsidP="001D68F0">
      <w:pPr>
        <w:widowControl w:val="0"/>
        <w:spacing w:line="240" w:lineRule="auto"/>
        <w:jc w:val="left"/>
        <w:rPr>
          <w:rFonts w:asciiTheme="minorHAnsi" w:hAnsiTheme="minorHAnsi"/>
          <w:sz w:val="20"/>
        </w:rPr>
      </w:pPr>
    </w:p>
    <w:p w14:paraId="0CF03B48"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Per l’operatore economico:</w:t>
      </w:r>
    </w:p>
    <w:p w14:paraId="771EEB35"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______________________________</w:t>
      </w:r>
    </w:p>
    <w:p w14:paraId="783236FA"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 xml:space="preserve">(il legale rappresentante) </w:t>
      </w:r>
    </w:p>
    <w:sectPr w:rsidR="001D68F0" w:rsidSect="00304C6D">
      <w:footerReference w:type="default" r:id="rId10"/>
      <w:headerReference w:type="first" r:id="rId11"/>
      <w:type w:val="continuous"/>
      <w:pgSz w:w="11907" w:h="16840" w:code="9"/>
      <w:pgMar w:top="851"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8C4E7" w14:textId="77777777" w:rsidR="001D68F0" w:rsidRDefault="001D68F0" w:rsidP="002750E3">
      <w:pPr>
        <w:spacing w:line="240" w:lineRule="auto"/>
      </w:pPr>
      <w:r>
        <w:separator/>
      </w:r>
    </w:p>
  </w:endnote>
  <w:endnote w:type="continuationSeparator" w:id="0">
    <w:p w14:paraId="1EE9784A" w14:textId="77777777" w:rsidR="001D68F0" w:rsidRDefault="001D68F0" w:rsidP="002750E3">
      <w:pPr>
        <w:spacing w:line="240" w:lineRule="auto"/>
      </w:pPr>
      <w:r>
        <w:continuationSeparator/>
      </w:r>
    </w:p>
  </w:endnote>
  <w:endnote w:type="continuationNotice" w:id="1">
    <w:p w14:paraId="256E776C" w14:textId="77777777" w:rsidR="001D68F0" w:rsidRDefault="001D68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4A193961" w:rsidR="001D68F0" w:rsidRPr="005E4DB4" w:rsidRDefault="001D68F0" w:rsidP="0033788E">
    <w:pPr>
      <w:pStyle w:val="Pidipagina"/>
      <w:pBdr>
        <w:top w:val="single" w:sz="4" w:space="1" w:color="auto"/>
      </w:pBdr>
      <w:spacing w:before="0" w:beforeAutospacing="0" w:afterAutospacing="0"/>
      <w:ind w:right="-227"/>
      <w:rPr>
        <w:rFonts w:ascii="Calibri" w:hAnsi="Calibri"/>
        <w:sz w:val="16"/>
        <w:szCs w:val="16"/>
      </w:rPr>
    </w:pPr>
    <w:r>
      <w:rPr>
        <w:rFonts w:ascii="Calibri" w:eastAsia="Calibri" w:hAnsi="Calibri"/>
        <w:noProof/>
        <w:sz w:val="18"/>
        <w:szCs w:val="22"/>
        <w:lang w:val="it-IT" w:eastAsia="en-US"/>
      </w:rPr>
      <w:t xml:space="preserve">CE. 0119417 </w:t>
    </w:r>
    <w:r w:rsidR="00007FBB">
      <w:rPr>
        <w:rFonts w:ascii="Calibri" w:eastAsia="Calibri" w:hAnsi="Calibri"/>
        <w:noProof/>
        <w:sz w:val="18"/>
        <w:szCs w:val="22"/>
        <w:lang w:val="it-IT" w:eastAsia="en-US"/>
      </w:rPr>
      <w:t>–</w:t>
    </w:r>
    <w:r>
      <w:rPr>
        <w:rFonts w:ascii="Calibri" w:eastAsia="Calibri" w:hAnsi="Calibri"/>
        <w:noProof/>
        <w:sz w:val="18"/>
        <w:szCs w:val="22"/>
        <w:lang w:val="it-IT" w:eastAsia="en-US"/>
      </w:rPr>
      <w:t xml:space="preserve"> </w:t>
    </w:r>
    <w:r w:rsidR="00007FBB">
      <w:rPr>
        <w:rFonts w:ascii="Calibri" w:eastAsia="Calibri" w:hAnsi="Calibri"/>
        <w:noProof/>
        <w:sz w:val="18"/>
        <w:szCs w:val="22"/>
        <w:lang w:val="it-IT" w:eastAsia="en-US"/>
      </w:rPr>
      <w:t>MANTOVA – CAS. SAN MARTINO</w:t>
    </w:r>
  </w:p>
  <w:p w14:paraId="68FE21B2" w14:textId="2CAB8BD9" w:rsidR="001D68F0" w:rsidRDefault="001D68F0" w:rsidP="00B65A5B">
    <w:pPr>
      <w:pStyle w:val="Pidipagina"/>
      <w:spacing w:before="0" w:beforeAutospacing="0" w:afterAutospacing="0"/>
    </w:pPr>
    <w:r w:rsidRPr="00B65A5B">
      <w:rPr>
        <w:rFonts w:asciiTheme="minorHAnsi" w:hAnsiTheme="minorHAnsi"/>
        <w:noProof/>
        <w:sz w:val="16"/>
        <w:szCs w:val="16"/>
        <w:lang w:val="it-IT"/>
      </w:rPr>
      <mc:AlternateContent>
        <mc:Choice Requires="wps">
          <w:drawing>
            <wp:anchor distT="0" distB="0" distL="114300" distR="114300" simplePos="0" relativeHeight="251662336" behindDoc="0" locked="0" layoutInCell="1" allowOverlap="1" wp14:anchorId="41AD94EE" wp14:editId="263DE973">
              <wp:simplePos x="0" y="0"/>
              <wp:positionH relativeFrom="column">
                <wp:posOffset>5611437</wp:posOffset>
              </wp:positionH>
              <wp:positionV relativeFrom="paragraph">
                <wp:posOffset>27651</wp:posOffset>
              </wp:positionV>
              <wp:extent cx="997528"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28"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8277D7">
                                    <w:rPr>
                                      <w:rFonts w:asciiTheme="minorHAnsi" w:hAnsiTheme="minorHAnsi"/>
                                      <w:b/>
                                      <w:bCs/>
                                      <w:noProof/>
                                      <w:sz w:val="18"/>
                                      <w:szCs w:val="18"/>
                                    </w:rPr>
                                    <w:t>1</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8277D7">
                                    <w:rPr>
                                      <w:rFonts w:asciiTheme="minorHAnsi" w:hAnsiTheme="minorHAnsi"/>
                                      <w:b/>
                                      <w:bCs/>
                                      <w:noProof/>
                                      <w:sz w:val="18"/>
                                      <w:szCs w:val="18"/>
                                    </w:rPr>
                                    <w:t>2</w:t>
                                  </w:r>
                                  <w:r w:rsidRPr="00ED0834">
                                    <w:rPr>
                                      <w:rFonts w:asciiTheme="minorHAnsi" w:hAnsiTheme="minorHAnsi"/>
                                      <w:b/>
                                      <w:bCs/>
                                      <w:sz w:val="18"/>
                                      <w:szCs w:val="1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94EE" id="_x0000_t202" coordsize="21600,21600" o:spt="202" path="m,l,21600r21600,l21600,xe">
              <v:stroke joinstyle="miter"/>
              <v:path gradientshapeok="t" o:connecttype="rect"/>
            </v:shapetype>
            <v:shape id="Casella di testo 3" o:spid="_x0000_s1026" type="#_x0000_t202" style="position:absolute;left:0;text-align:left;margin-left:441.85pt;margin-top:2.2pt;width:78.5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" stroked="f">
              <v:textbo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8277D7">
                              <w:rPr>
                                <w:rFonts w:asciiTheme="minorHAnsi" w:hAnsiTheme="minorHAnsi"/>
                                <w:b/>
                                <w:bCs/>
                                <w:noProof/>
                                <w:sz w:val="18"/>
                                <w:szCs w:val="18"/>
                              </w:rPr>
                              <w:t>1</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8277D7">
                              <w:rPr>
                                <w:rFonts w:asciiTheme="minorHAnsi" w:hAnsiTheme="minorHAnsi"/>
                                <w:b/>
                                <w:bCs/>
                                <w:noProof/>
                                <w:sz w:val="18"/>
                                <w:szCs w:val="18"/>
                              </w:rPr>
                              <w:t>2</w:t>
                            </w:r>
                            <w:r w:rsidRPr="00ED0834">
                              <w:rPr>
                                <w:rFonts w:asciiTheme="minorHAnsi" w:hAnsiTheme="minorHAnsi"/>
                                <w:b/>
                                <w:bCs/>
                                <w:sz w:val="18"/>
                                <w:szCs w:val="18"/>
                              </w:rPr>
                              <w:fldChar w:fldCharType="end"/>
                            </w:r>
                          </w:p>
                        </w:sdtContent>
                      </w:sdt>
                    </w:sdtContent>
                  </w:sdt>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785AD" w14:textId="77777777" w:rsidR="001D68F0" w:rsidRDefault="001D68F0" w:rsidP="002750E3">
      <w:pPr>
        <w:spacing w:line="240" w:lineRule="auto"/>
      </w:pPr>
      <w:r>
        <w:separator/>
      </w:r>
    </w:p>
  </w:footnote>
  <w:footnote w:type="continuationSeparator" w:id="0">
    <w:p w14:paraId="4C01C4A6" w14:textId="77777777" w:rsidR="001D68F0" w:rsidRDefault="001D68F0" w:rsidP="002750E3">
      <w:pPr>
        <w:spacing w:line="240" w:lineRule="auto"/>
      </w:pPr>
      <w:r>
        <w:continuationSeparator/>
      </w:r>
    </w:p>
  </w:footnote>
  <w:footnote w:type="continuationNotice" w:id="1">
    <w:p w14:paraId="474C00B1" w14:textId="77777777" w:rsidR="001D68F0" w:rsidRDefault="001D68F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1D68F0" w:rsidRPr="00304C6D" w:rsidRDefault="001D68F0"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27"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33"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6B987E28"/>
    <w:multiLevelType w:val="hybridMultilevel"/>
    <w:tmpl w:val="ABF2E4D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41"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42"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38"/>
  </w:num>
  <w:num w:numId="3">
    <w:abstractNumId w:val="35"/>
    <w:lvlOverride w:ilvl="0"/>
    <w:lvlOverride w:ilvl="1">
      <w:startOverride w:val="1"/>
    </w:lvlOverride>
    <w:lvlOverride w:ilvl="2"/>
    <w:lvlOverride w:ilvl="3"/>
    <w:lvlOverride w:ilvl="4"/>
    <w:lvlOverride w:ilvl="5"/>
    <w:lvlOverride w:ilvl="6"/>
    <w:lvlOverride w:ilvl="7"/>
    <w:lvlOverride w:ilvl="8"/>
  </w:num>
  <w:num w:numId="4">
    <w:abstractNumId w:val="23"/>
  </w:num>
  <w:num w:numId="5">
    <w:abstractNumId w:val="36"/>
  </w:num>
  <w:num w:numId="6">
    <w:abstractNumId w:val="27"/>
  </w:num>
  <w:num w:numId="7">
    <w:abstractNumId w:val="31"/>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41"/>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9"/>
  </w:num>
  <w:num w:numId="31">
    <w:abstractNumId w:val="26"/>
  </w:num>
  <w:num w:numId="32">
    <w:abstractNumId w:val="28"/>
  </w:num>
  <w:num w:numId="33">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07FBB"/>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8F0"/>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7D7"/>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07A"/>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iPriority="99" w:unhideWhenUsed="1"/>
    <w:lsdException w:name="Default Paragraph Font" w:locked="1"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1"/>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1"/>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uiPriority w:val="99"/>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uiPriority w:val="99"/>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uiPriority w:val="99"/>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uiPriority w:val="99"/>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rsid w:val="00C92AFA"/>
    <w:rPr>
      <w:sz w:val="20"/>
      <w:szCs w:val="20"/>
      <w:lang w:val="x-none"/>
    </w:rPr>
  </w:style>
  <w:style w:type="character" w:customStyle="1" w:styleId="TestonotadichiusuraCarattere">
    <w:name w:val="Testo nota di chiusura Carattere"/>
    <w:link w:val="Testonotadichiusura"/>
    <w:uiPriority w:val="99"/>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uiPriority w:val="99"/>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uiPriority w:val="99"/>
    <w:rsid w:val="00EC681F"/>
    <w:rPr>
      <w:sz w:val="20"/>
      <w:szCs w:val="20"/>
      <w:lang w:val="x-none"/>
    </w:rPr>
  </w:style>
  <w:style w:type="character" w:customStyle="1" w:styleId="TestocommentoCarattere">
    <w:name w:val="Testo commento Carattere"/>
    <w:link w:val="Testocommento"/>
    <w:uiPriority w:val="99"/>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uiPriority w:val="99"/>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uiPriority w:val="99"/>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uiPriority w:val="99"/>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uiPriority w:val="99"/>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uiPriority w:val="99"/>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99"/>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uiPriority w:val="99"/>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uiPriority w:val="99"/>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rPr>
      <w:lang w:val="x-none"/>
    </w:rPr>
  </w:style>
  <w:style w:type="character" w:customStyle="1" w:styleId="Corpodeltesto2Carattere">
    <w:name w:val="Corpo del testo 2 Carattere"/>
    <w:link w:val="Corpodeltesto2"/>
    <w:uiPriority w:val="99"/>
    <w:rsid w:val="007574A8"/>
    <w:rPr>
      <w:rFonts w:eastAsia="Times New Roman"/>
      <w:sz w:val="22"/>
      <w:szCs w:val="22"/>
      <w:lang w:eastAsia="en-US"/>
    </w:rPr>
  </w:style>
  <w:style w:type="paragraph" w:customStyle="1" w:styleId="Rientrocorpodeltesto21">
    <w:name w:val="Rientro corpo del testo 21"/>
    <w:basedOn w:val="Normale"/>
    <w:uiPriority w:val="99"/>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uiPriority w:val="99"/>
    <w:rsid w:val="000B5DAC"/>
    <w:rPr>
      <w:rFonts w:ascii="Tahoma" w:hAnsi="Tahoma"/>
      <w:sz w:val="16"/>
      <w:szCs w:val="16"/>
      <w:lang w:val="x-none"/>
    </w:rPr>
  </w:style>
  <w:style w:type="character" w:customStyle="1" w:styleId="MappadocumentoCarattere">
    <w:name w:val="Mappa documento Carattere"/>
    <w:link w:val="Mappadocumento"/>
    <w:uiPriority w:val="99"/>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uiPriority w:val="99"/>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uiPriority w:val="99"/>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uiPriority w:val="99"/>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uiPriority w:val="99"/>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uiPriority w:val="99"/>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uiPriority w:val="99"/>
    <w:rsid w:val="00C708BA"/>
    <w:rPr>
      <w:rFonts w:ascii="Times New Roman" w:eastAsia="Times New Roman" w:hAnsi="Times New Roman"/>
      <w:sz w:val="24"/>
      <w:szCs w:val="24"/>
    </w:rPr>
  </w:style>
  <w:style w:type="paragraph" w:customStyle="1" w:styleId="sche3">
    <w:name w:val="sche_3"/>
    <w:uiPriority w:val="99"/>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aliases w:val="Corpo del testo Carattere1"/>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uiPriority w:val="99"/>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uiPriority w:val="99"/>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uiPriority w:val="99"/>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uiPriority w:val="99"/>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2"/>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uiPriority w:val="99"/>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uiPriority w:val="99"/>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uiPriority w:val="99"/>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uiPriority w:val="99"/>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iPriority w:val="99"/>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uiPriority w:val="99"/>
    <w:rsid w:val="00753159"/>
    <w:rPr>
      <w:rFonts w:eastAsia="Times New Roman"/>
    </w:rPr>
  </w:style>
  <w:style w:type="paragraph" w:customStyle="1" w:styleId="Corpodeltesto21">
    <w:name w:val="Corpo del testo 21"/>
    <w:basedOn w:val="Normale"/>
    <w:uiPriority w:val="99"/>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uiPriority w:val="99"/>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uiPriority w:val="99"/>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uiPriority w:val="99"/>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uiPriority w:val="99"/>
    <w:rsid w:val="00BE1AD2"/>
    <w:pPr>
      <w:widowControl w:val="0"/>
      <w:numPr>
        <w:numId w:val="4"/>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uiPriority w:val="99"/>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uiPriority w:val="99"/>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uiPriority w:val="99"/>
    <w:qFormat/>
    <w:rsid w:val="004B2C4E"/>
    <w:pPr>
      <w:numPr>
        <w:ilvl w:val="2"/>
        <w:numId w:val="5"/>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uiPriority w:val="99"/>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uiPriority w:val="99"/>
    <w:qFormat/>
    <w:rsid w:val="004B2C4E"/>
    <w:pPr>
      <w:ind w:left="930"/>
    </w:pPr>
  </w:style>
  <w:style w:type="paragraph" w:customStyle="1" w:styleId="Stile5">
    <w:name w:val="Stile5"/>
    <w:basedOn w:val="Stile3"/>
    <w:link w:val="Stile5Carattere"/>
    <w:uiPriority w:val="99"/>
    <w:qFormat/>
    <w:rsid w:val="004B2C4E"/>
    <w:rPr>
      <w:b w:val="0"/>
    </w:rPr>
  </w:style>
  <w:style w:type="character" w:customStyle="1" w:styleId="Stile4Carattere">
    <w:name w:val="Stile4 Carattere"/>
    <w:basedOn w:val="Stile3Carattere"/>
    <w:link w:val="Stile4"/>
    <w:uiPriority w:val="99"/>
    <w:rsid w:val="004B2C4E"/>
    <w:rPr>
      <w:rFonts w:eastAsia="Times New Roman" w:cs="Calibri"/>
      <w:b/>
      <w:sz w:val="22"/>
      <w:szCs w:val="22"/>
    </w:rPr>
  </w:style>
  <w:style w:type="character" w:customStyle="1" w:styleId="Stile5Carattere">
    <w:name w:val="Stile5 Carattere"/>
    <w:basedOn w:val="Stile3Carattere"/>
    <w:link w:val="Stile5"/>
    <w:uiPriority w:val="99"/>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uiPriority w:val="99"/>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uiPriority w:val="99"/>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uiPriority w:val="99"/>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uiPriority w:val="99"/>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uiPriority w:val="99"/>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uiPriority w:val="99"/>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uiPriority w:val="99"/>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uiPriority w:val="99"/>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uiPriority w:val="99"/>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uiPriority w:val="99"/>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uiPriority w:val="99"/>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uiPriority w:val="99"/>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uiPriority w:val="99"/>
    <w:rsid w:val="004B2C4E"/>
  </w:style>
  <w:style w:type="paragraph" w:customStyle="1" w:styleId="western">
    <w:name w:val="western"/>
    <w:basedOn w:val="Normale"/>
    <w:uiPriority w:val="99"/>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rmaleCarattere1">
    <w:name w:val="Testo normale Carattere1"/>
    <w:aliases w:val="Carattere1 Carattere1"/>
    <w:basedOn w:val="Carpredefinitoparagrafo"/>
    <w:semiHidden/>
    <w:rsid w:val="001D68F0"/>
    <w:rPr>
      <w:rFonts w:ascii="Consolas" w:eastAsia="Times New Roman"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34718">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8E665D-F7DE-404F-9918-DF8EBC0D68FC}">
  <ds:schemaRefs>
    <ds:schemaRef ds:uri="http://schemas.openxmlformats.org/officeDocument/2006/bibliography"/>
  </ds:schemaRefs>
</ds:datastoreItem>
</file>

<file path=customXml/itemProps2.xml><?xml version="1.0" encoding="utf-8"?>
<ds:datastoreItem xmlns:ds="http://schemas.openxmlformats.org/officeDocument/2006/customXml" ds:itemID="{9E86C595-CEF9-4C09-A228-7EF3553D9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2</Pages>
  <Words>1404</Words>
  <Characters>8009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Giordano, Cap. Pierpaolo - GENIODIFE</cp:lastModifiedBy>
  <cp:revision>17</cp:revision>
  <cp:lastPrinted>2019-08-06T12:26:00Z</cp:lastPrinted>
  <dcterms:created xsi:type="dcterms:W3CDTF">2019-09-19T12:17:00Z</dcterms:created>
  <dcterms:modified xsi:type="dcterms:W3CDTF">2019-10-15T05:34:00Z</dcterms:modified>
</cp:coreProperties>
</file>