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Ind w:w="-318" w:type="dxa"/>
        <w:tblBorders>
          <w:top w:val="single" w:sz="8" w:space="0" w:color="000000"/>
          <w:bottom w:val="single" w:sz="8" w:space="0" w:color="000000"/>
        </w:tblBorders>
        <w:tblLook w:val="0000" w:firstRow="0" w:lastRow="0" w:firstColumn="0" w:lastColumn="0" w:noHBand="0" w:noVBand="0"/>
      </w:tblPr>
      <w:tblGrid>
        <w:gridCol w:w="10056"/>
      </w:tblGrid>
      <w:tr w:rsidR="00F96A83" w:rsidRPr="006A79BE" w:rsidTr="00790EBF">
        <w:trPr>
          <w:trHeight w:val="1098"/>
        </w:trPr>
        <w:tc>
          <w:tcPr>
            <w:tcW w:w="10056" w:type="dxa"/>
            <w:tcBorders>
              <w:top w:val="single" w:sz="8" w:space="0" w:color="000000"/>
              <w:left w:val="nil"/>
              <w:right w:val="nil"/>
            </w:tcBorders>
            <w:shd w:val="clear" w:color="auto" w:fill="C0C0C0"/>
          </w:tcPr>
          <w:p w:rsidR="00F96A83" w:rsidRPr="006A79BE" w:rsidRDefault="00F96A83" w:rsidP="00790EBF">
            <w:pPr>
              <w:pStyle w:val="Titolo1"/>
              <w:rPr>
                <w:rFonts w:asciiTheme="minorHAnsi" w:hAnsiTheme="minorHAnsi" w:cstheme="minorHAnsi"/>
                <w:sz w:val="24"/>
                <w:szCs w:val="24"/>
              </w:rPr>
            </w:pPr>
            <w:bookmarkStart w:id="0" w:name="_Toc414537348"/>
            <w:bookmarkStart w:id="1" w:name="_Toc414537606"/>
            <w:bookmarkStart w:id="2" w:name="_Toc419708971"/>
            <w:bookmarkStart w:id="3" w:name="_Toc422322848"/>
            <w:bookmarkStart w:id="4" w:name="_Toc43725414"/>
            <w:r w:rsidRPr="006A79BE">
              <w:rPr>
                <w:rFonts w:asciiTheme="minorHAnsi" w:hAnsiTheme="minorHAnsi" w:cstheme="minorHAnsi"/>
                <w:sz w:val="24"/>
                <w:szCs w:val="24"/>
              </w:rPr>
              <w:t>ALLEGATO D   - PATTO DI INTEGRITA’</w:t>
            </w:r>
            <w:bookmarkEnd w:id="0"/>
            <w:bookmarkEnd w:id="1"/>
            <w:bookmarkEnd w:id="2"/>
            <w:bookmarkEnd w:id="3"/>
            <w:bookmarkEnd w:id="4"/>
          </w:p>
        </w:tc>
      </w:tr>
    </w:tbl>
    <w:p w:rsidR="00F96A83" w:rsidRPr="00FA43C3" w:rsidRDefault="00F96A83" w:rsidP="00F96A83">
      <w:pPr>
        <w:jc w:val="both"/>
        <w:rPr>
          <w:rFonts w:asciiTheme="minorHAnsi" w:hAnsiTheme="minorHAnsi" w:cstheme="minorHAnsi"/>
          <w:sz w:val="24"/>
          <w:szCs w:val="24"/>
        </w:rPr>
      </w:pPr>
      <w:r w:rsidRPr="00FA43C3">
        <w:rPr>
          <w:rFonts w:asciiTheme="minorHAnsi" w:hAnsiTheme="minorHAnsi" w:cstheme="minorHAnsi"/>
          <w:b/>
          <w:bCs/>
          <w:sz w:val="24"/>
          <w:szCs w:val="24"/>
          <w:lang w:bidi="it-IT"/>
        </w:rPr>
        <w:t xml:space="preserve">Il presente documento, disponibile sul sito </w:t>
      </w:r>
      <w:hyperlink r:id="rId5" w:history="1">
        <w:r w:rsidRPr="00FA43C3">
          <w:rPr>
            <w:rStyle w:val="Collegamentoipertestuale"/>
            <w:rFonts w:asciiTheme="minorHAnsi" w:hAnsiTheme="minorHAnsi" w:cstheme="minorHAnsi"/>
            <w:b/>
            <w:bCs/>
            <w:sz w:val="24"/>
            <w:szCs w:val="24"/>
            <w:lang w:bidi="it-IT"/>
          </w:rPr>
          <w:t>www.difesa.it/SGD-DNA/Staff/DT/GENIODIFE/Bandi</w:t>
        </w:r>
      </w:hyperlink>
      <w:r w:rsidRPr="00FA43C3">
        <w:rPr>
          <w:rFonts w:asciiTheme="minorHAnsi" w:hAnsiTheme="minorHAnsi" w:cstheme="minorHAnsi"/>
          <w:b/>
          <w:bCs/>
          <w:sz w:val="24"/>
          <w:szCs w:val="24"/>
          <w:lang w:bidi="it-IT"/>
        </w:rPr>
        <w:t xml:space="preserve"> e sul sito </w:t>
      </w:r>
      <w:hyperlink r:id="rId6" w:history="1">
        <w:proofErr w:type="gramStart"/>
        <w:r w:rsidRPr="00FA43C3">
          <w:rPr>
            <w:rStyle w:val="Collegamentoipertestuale"/>
            <w:rFonts w:asciiTheme="minorHAnsi" w:hAnsiTheme="minorHAnsi" w:cstheme="minorHAnsi"/>
            <w:b/>
            <w:bCs/>
            <w:sz w:val="24"/>
            <w:szCs w:val="24"/>
            <w:lang w:bidi="it-IT"/>
          </w:rPr>
          <w:t>www.acquistinretepa.it</w:t>
        </w:r>
      </w:hyperlink>
      <w:r w:rsidRPr="00FA43C3">
        <w:rPr>
          <w:rFonts w:asciiTheme="minorHAnsi" w:hAnsiTheme="minorHAnsi" w:cstheme="minorHAnsi"/>
          <w:b/>
          <w:bCs/>
          <w:sz w:val="24"/>
          <w:szCs w:val="24"/>
          <w:lang w:bidi="it-IT"/>
        </w:rPr>
        <w:t xml:space="preserve"> ,</w:t>
      </w:r>
      <w:proofErr w:type="gramEnd"/>
      <w:r w:rsidRPr="00FA43C3">
        <w:rPr>
          <w:rFonts w:asciiTheme="minorHAnsi" w:hAnsiTheme="minorHAnsi" w:cstheme="minorHAnsi"/>
          <w:b/>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rsidR="00F96A83" w:rsidRPr="006A79BE" w:rsidRDefault="00F96A83" w:rsidP="00F96A83">
      <w:pPr>
        <w:jc w:val="both"/>
        <w:rPr>
          <w:rFonts w:asciiTheme="minorHAnsi" w:hAnsiTheme="minorHAnsi" w:cstheme="minorHAnsi"/>
          <w:sz w:val="24"/>
          <w:szCs w:val="24"/>
        </w:rPr>
      </w:pPr>
    </w:p>
    <w:p w:rsidR="00F96A83" w:rsidRPr="006A79BE" w:rsidRDefault="00F96A83" w:rsidP="00F96A83">
      <w:pPr>
        <w:jc w:val="both"/>
        <w:rPr>
          <w:rFonts w:asciiTheme="minorHAnsi" w:hAnsiTheme="minorHAnsi" w:cstheme="minorHAnsi"/>
          <w:sz w:val="24"/>
          <w:szCs w:val="24"/>
        </w:rPr>
      </w:pPr>
    </w:p>
    <w:p w:rsidR="00F96A83" w:rsidRPr="006A79BE" w:rsidRDefault="00F96A83" w:rsidP="00F96A83">
      <w:pPr>
        <w:jc w:val="both"/>
        <w:rPr>
          <w:rFonts w:asciiTheme="minorHAnsi" w:hAnsiTheme="minorHAnsi" w:cstheme="minorHAnsi"/>
          <w:b/>
          <w:sz w:val="24"/>
          <w:szCs w:val="24"/>
          <w:u w:val="single"/>
        </w:rPr>
      </w:pPr>
      <w:r w:rsidRPr="006A79BE">
        <w:rPr>
          <w:rFonts w:asciiTheme="minorHAnsi" w:hAnsiTheme="minorHAnsi" w:cstheme="minorHAnsi"/>
          <w:b/>
          <w:sz w:val="24"/>
          <w:szCs w:val="24"/>
          <w:u w:val="single"/>
        </w:rPr>
        <w:t xml:space="preserve">Il presente documento deve essere obbligatoriamente sottoscritto e presentato insieme </w:t>
      </w:r>
      <w:proofErr w:type="gramStart"/>
      <w:r w:rsidRPr="006A79BE">
        <w:rPr>
          <w:rFonts w:asciiTheme="minorHAnsi" w:hAnsiTheme="minorHAnsi" w:cstheme="minorHAnsi"/>
          <w:b/>
          <w:sz w:val="24"/>
          <w:szCs w:val="24"/>
          <w:u w:val="single"/>
        </w:rPr>
        <w:t>all’offerta  da</w:t>
      </w:r>
      <w:proofErr w:type="gramEnd"/>
      <w:r w:rsidRPr="006A79BE">
        <w:rPr>
          <w:rFonts w:asciiTheme="minorHAnsi" w:hAnsiTheme="minorHAnsi" w:cstheme="minorHAnsi"/>
          <w:b/>
          <w:sz w:val="24"/>
          <w:szCs w:val="24"/>
          <w:u w:val="single"/>
        </w:rPr>
        <w:t xml:space="preserve"> ciascun partecipante  alla gara in oggetto. La mancata consegna del presente documento, debitamente sottoscritto, comporterà l’esclusione automatica dalla gara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SEGRETARIATO GENERALE DELLA DIFESA E DIREZIONE NAZIONALE DEGLI ARMAMENTI</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00196-  ROMA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w:t>
      </w:r>
      <w:proofErr w:type="gramStart"/>
      <w:r w:rsidRPr="006A79BE">
        <w:rPr>
          <w:rFonts w:asciiTheme="minorHAnsi" w:hAnsiTheme="minorHAnsi" w:cstheme="minorHAnsi"/>
          <w:sz w:val="24"/>
          <w:szCs w:val="24"/>
        </w:rPr>
        <w:t>PROCEDURA  PER</w:t>
      </w:r>
      <w:proofErr w:type="gramEnd"/>
      <w:r w:rsidRPr="006A79BE">
        <w:rPr>
          <w:rFonts w:asciiTheme="minorHAnsi" w:hAnsiTheme="minorHAnsi" w:cstheme="minorHAnsi"/>
          <w:sz w:val="24"/>
          <w:szCs w:val="24"/>
        </w:rPr>
        <w:t xml:space="preserve"> L</w:t>
      </w:r>
      <w:r>
        <w:rPr>
          <w:rFonts w:asciiTheme="minorHAnsi" w:hAnsiTheme="minorHAnsi" w:cstheme="minorHAnsi"/>
          <w:sz w:val="24"/>
          <w:szCs w:val="24"/>
        </w:rPr>
        <w:t>’AFFIDAMENTO DEI LAVORI</w:t>
      </w:r>
      <w:r w:rsidRPr="006A79BE">
        <w:rPr>
          <w:rFonts w:asciiTheme="minorHAnsi" w:hAnsiTheme="minorHAnsi" w:cstheme="minorHAnsi"/>
          <w:sz w:val="24"/>
          <w:szCs w:val="24"/>
        </w:rPr>
        <w:t xml:space="preserve"> DI____________ ____________________________; LOCALITÀ____________________IMPORTO LORDO A BASE DI GARA    EURO ___________________DI CUI EURO _____________ PER  ONERI PER L’ATTUAZIONE DEL PIANO DI SICUREZZA NON SOGGETTI A RIBASSO.</w:t>
      </w:r>
    </w:p>
    <w:p w:rsidR="00F96A83" w:rsidRPr="006A79BE" w:rsidRDefault="00F96A83" w:rsidP="00F96A83">
      <w:pPr>
        <w:jc w:val="both"/>
        <w:rPr>
          <w:rFonts w:asciiTheme="minorHAnsi" w:hAnsiTheme="minorHAnsi" w:cstheme="minorHAnsi"/>
          <w:b/>
          <w:sz w:val="24"/>
          <w:szCs w:val="24"/>
        </w:rPr>
      </w:pPr>
      <w:r w:rsidRPr="006A79BE">
        <w:rPr>
          <w:rFonts w:asciiTheme="minorHAnsi" w:hAnsiTheme="minorHAnsi" w:cstheme="minorHAnsi"/>
          <w:b/>
          <w:sz w:val="24"/>
          <w:szCs w:val="24"/>
        </w:rPr>
        <w:t>PATTO DI INTEGRITA’</w:t>
      </w:r>
    </w:p>
    <w:p w:rsidR="00F96A83" w:rsidRPr="006A79BE" w:rsidRDefault="00F96A83" w:rsidP="00F96A83">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TRA  MINISTERO</w:t>
      </w:r>
      <w:proofErr w:type="gramEnd"/>
      <w:r w:rsidRPr="006A79BE">
        <w:rPr>
          <w:rFonts w:asciiTheme="minorHAnsi" w:hAnsiTheme="minorHAnsi" w:cstheme="minorHAnsi"/>
          <w:sz w:val="24"/>
          <w:szCs w:val="24"/>
        </w:rPr>
        <w:t xml:space="preserve"> DELLA DIFESA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SEGRETARIATO GENERALE DELLA DIFESA E DIREZIONE NAZIONALE DEGLI ARMAMENTI</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DIREZIONE DEI LAVORI E DEL DEMANIO</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t>E</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lastRenderedPageBreak/>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F96A83" w:rsidRPr="006A79BE" w:rsidRDefault="00F96A83" w:rsidP="00F96A83">
      <w:pPr>
        <w:jc w:val="both"/>
        <w:rPr>
          <w:rFonts w:asciiTheme="minorHAnsi" w:hAnsiTheme="minorHAnsi" w:cstheme="minorHAnsi"/>
          <w:sz w:val="24"/>
          <w:szCs w:val="24"/>
        </w:rPr>
      </w:pP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VISTO</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la Legge 6 novembre 2012 n. 190, art. 1, comma 17 recante “Disposizioni per la prevenzione e la repressione della corruzione e dell'illegalità nella pubblica amministrazione;</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il Piano Nazionale Anticorruzione (P.N.A.) emanato dall’Autorità Nazionale </w:t>
      </w:r>
      <w:proofErr w:type="spellStart"/>
      <w:r w:rsidRPr="006A79BE">
        <w:rPr>
          <w:rFonts w:asciiTheme="minorHAnsi" w:hAnsiTheme="minorHAnsi" w:cstheme="minorHAnsi"/>
          <w:sz w:val="24"/>
          <w:szCs w:val="24"/>
        </w:rPr>
        <w:t>AntiCorruzione</w:t>
      </w:r>
      <w:proofErr w:type="spellEnd"/>
      <w:r w:rsidRPr="006A79BE">
        <w:rPr>
          <w:rFonts w:asciiTheme="minorHAnsi" w:hAnsiTheme="minorHAnsi" w:cstheme="minorHAnsi"/>
          <w:sz w:val="24"/>
          <w:szCs w:val="24"/>
        </w:rPr>
        <w:t xml:space="preserve"> e per la valutazione e la trasparenza delle amministrazioni pubbliche (</w:t>
      </w:r>
      <w:proofErr w:type="gramStart"/>
      <w:r w:rsidRPr="006A79BE">
        <w:rPr>
          <w:rFonts w:asciiTheme="minorHAnsi" w:hAnsiTheme="minorHAnsi" w:cstheme="minorHAnsi"/>
          <w:sz w:val="24"/>
          <w:szCs w:val="24"/>
        </w:rPr>
        <w:t>ex  CIVIT</w:t>
      </w:r>
      <w:proofErr w:type="gramEnd"/>
      <w:r w:rsidRPr="006A79BE">
        <w:rPr>
          <w:rFonts w:asciiTheme="minorHAnsi" w:hAnsiTheme="minorHAnsi" w:cstheme="minorHAnsi"/>
          <w:sz w:val="24"/>
          <w:szCs w:val="24"/>
        </w:rPr>
        <w:t>) approvato con delibera n. 72/2013, contenente “Disposizioni per la prevenzione e la repressione della corruzione e dell’illegalità nella pubblica amministrazione”;</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6A79BE">
        <w:rPr>
          <w:rFonts w:asciiTheme="minorHAnsi" w:hAnsiTheme="minorHAnsi" w:cstheme="minorHAnsi"/>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6A79BE">
        <w:rPr>
          <w:rFonts w:asciiTheme="minorHAnsi" w:hAnsiTheme="minorHAnsi" w:cstheme="minorHAnsi"/>
          <w:sz w:val="24"/>
          <w:szCs w:val="24"/>
        </w:rPr>
        <w:tab/>
        <w:t xml:space="preserve">il Decreto del Presidente della Repubblica 16 aprile 2013, n. 62 con il quale è stato emanato il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“Regolamento recante il codice di comportamento dei dipendenti pubblici”;</w:t>
      </w:r>
    </w:p>
    <w:p w:rsidR="00F96A83" w:rsidRPr="006A79BE" w:rsidRDefault="00F96A83" w:rsidP="00F96A83">
      <w:pPr>
        <w:numPr>
          <w:ilvl w:val="0"/>
          <w:numId w:val="1"/>
        </w:numPr>
        <w:jc w:val="both"/>
        <w:rPr>
          <w:rFonts w:asciiTheme="minorHAnsi" w:hAnsiTheme="minorHAnsi" w:cstheme="minorHAnsi"/>
          <w:sz w:val="24"/>
          <w:szCs w:val="24"/>
        </w:rPr>
      </w:pPr>
      <w:r w:rsidRPr="006A79BE">
        <w:rPr>
          <w:rFonts w:asciiTheme="minorHAnsi" w:hAnsiTheme="minorHAnsi" w:cstheme="minorHAnsi"/>
          <w:sz w:val="24"/>
          <w:szCs w:val="24"/>
        </w:rPr>
        <w:t>Il “Codice di comportamento dei dipendenti del Ministero della Difesa”, approvato dal Ministro della Difesa il 29 gennaio 2014;</w:t>
      </w:r>
    </w:p>
    <w:p w:rsidR="00F96A83" w:rsidRPr="006A79BE" w:rsidRDefault="00F96A83" w:rsidP="00F96A83">
      <w:pPr>
        <w:numPr>
          <w:ilvl w:val="0"/>
          <w:numId w:val="1"/>
        </w:numPr>
        <w:jc w:val="both"/>
        <w:rPr>
          <w:rFonts w:asciiTheme="minorHAnsi" w:hAnsiTheme="minorHAnsi" w:cstheme="minorHAnsi"/>
          <w:sz w:val="24"/>
          <w:szCs w:val="24"/>
        </w:rPr>
      </w:pPr>
      <w:r w:rsidRPr="006A79BE">
        <w:rPr>
          <w:rFonts w:asciiTheme="minorHAnsi" w:hAnsiTheme="minorHAnsi" w:cstheme="minorHAnsi"/>
          <w:sz w:val="24"/>
          <w:szCs w:val="24"/>
        </w:rPr>
        <w:t xml:space="preserve">Il decreto- legge 24 giugno 2014, n. 90 recante “Misure urgenti per la semplificazione e la trasparenza amministrativa e per l’efficienza degli uffici giudiziari”, convertito con </w:t>
      </w:r>
      <w:proofErr w:type="gramStart"/>
      <w:r w:rsidRPr="006A79BE">
        <w:rPr>
          <w:rFonts w:asciiTheme="minorHAnsi" w:hAnsiTheme="minorHAnsi" w:cstheme="minorHAnsi"/>
          <w:sz w:val="24"/>
          <w:szCs w:val="24"/>
        </w:rPr>
        <w:t>modificazioni  dalla</w:t>
      </w:r>
      <w:proofErr w:type="gramEnd"/>
      <w:r w:rsidRPr="006A79BE">
        <w:rPr>
          <w:rFonts w:asciiTheme="minorHAnsi" w:hAnsiTheme="minorHAnsi" w:cstheme="minorHAnsi"/>
          <w:sz w:val="24"/>
          <w:szCs w:val="24"/>
        </w:rPr>
        <w:t xml:space="preserve"> Legge 11 agosto 2014, n. 114;</w:t>
      </w:r>
    </w:p>
    <w:p w:rsidR="00F96A83" w:rsidRPr="006A79BE" w:rsidRDefault="00F96A83" w:rsidP="00F96A83">
      <w:pPr>
        <w:numPr>
          <w:ilvl w:val="0"/>
          <w:numId w:val="1"/>
        </w:numPr>
        <w:jc w:val="both"/>
        <w:rPr>
          <w:rFonts w:asciiTheme="minorHAnsi" w:hAnsiTheme="minorHAnsi" w:cstheme="minorHAnsi"/>
          <w:sz w:val="24"/>
          <w:szCs w:val="24"/>
        </w:rPr>
      </w:pPr>
      <w:r w:rsidRPr="006A79BE">
        <w:rPr>
          <w:rFonts w:asciiTheme="minorHAnsi" w:hAnsiTheme="minorHAnsi" w:cstheme="minorHAnsi"/>
          <w:sz w:val="24"/>
          <w:szCs w:val="24"/>
        </w:rPr>
        <w:t>Il Protocollo di intesa siglato tra il Ministero dell’Interno e l’Autorità Nazionale Anticorruzione il 15 luglio 2014;</w:t>
      </w:r>
    </w:p>
    <w:p w:rsidR="00F96A83" w:rsidRPr="006A79BE" w:rsidRDefault="00F96A83" w:rsidP="00F96A83">
      <w:pPr>
        <w:numPr>
          <w:ilvl w:val="0"/>
          <w:numId w:val="1"/>
        </w:numPr>
        <w:tabs>
          <w:tab w:val="clear" w:pos="420"/>
          <w:tab w:val="num" w:pos="0"/>
        </w:tabs>
        <w:jc w:val="both"/>
        <w:rPr>
          <w:rFonts w:asciiTheme="minorHAnsi" w:hAnsiTheme="minorHAnsi" w:cstheme="minorHAnsi"/>
          <w:sz w:val="24"/>
          <w:szCs w:val="24"/>
        </w:rPr>
      </w:pPr>
      <w:r w:rsidRPr="006A79BE">
        <w:rPr>
          <w:rFonts w:asciiTheme="minorHAnsi" w:hAnsiTheme="minorHAnsi" w:cstheme="minorHAnsi"/>
          <w:sz w:val="24"/>
          <w:szCs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rsidR="00F96A83" w:rsidRPr="006A79BE" w:rsidRDefault="00F96A83" w:rsidP="00F96A83">
      <w:pPr>
        <w:numPr>
          <w:ilvl w:val="0"/>
          <w:numId w:val="1"/>
        </w:numPr>
        <w:tabs>
          <w:tab w:val="clear" w:pos="420"/>
          <w:tab w:val="num" w:pos="0"/>
        </w:tabs>
        <w:jc w:val="both"/>
        <w:rPr>
          <w:rFonts w:asciiTheme="minorHAnsi" w:hAnsiTheme="minorHAnsi" w:cstheme="minorHAnsi"/>
          <w:sz w:val="24"/>
          <w:szCs w:val="24"/>
        </w:rPr>
      </w:pPr>
      <w:r w:rsidRPr="006A79BE">
        <w:rPr>
          <w:rFonts w:asciiTheme="minorHAnsi" w:hAnsiTheme="minorHAnsi" w:cstheme="minorHAnsi"/>
          <w:sz w:val="24"/>
          <w:szCs w:val="24"/>
        </w:rPr>
        <w:t>La Determinazione n. 12 del 28 ottobre 2015 con la quale l’Autorità Nazionale Anticorruzione ha adottato l’aggiornamento 2015 al Piano Nazionale Anticorruzione;</w:t>
      </w:r>
    </w:p>
    <w:p w:rsidR="00F96A83" w:rsidRPr="006A79BE" w:rsidRDefault="00F96A83" w:rsidP="00F96A83">
      <w:pPr>
        <w:numPr>
          <w:ilvl w:val="0"/>
          <w:numId w:val="1"/>
        </w:numPr>
        <w:tabs>
          <w:tab w:val="clear" w:pos="420"/>
          <w:tab w:val="num" w:pos="0"/>
        </w:tabs>
        <w:jc w:val="both"/>
        <w:rPr>
          <w:rFonts w:asciiTheme="minorHAnsi" w:hAnsiTheme="minorHAnsi" w:cstheme="minorHAnsi"/>
          <w:sz w:val="24"/>
          <w:szCs w:val="24"/>
        </w:rPr>
      </w:pPr>
      <w:proofErr w:type="gramStart"/>
      <w:r w:rsidRPr="006A79BE">
        <w:rPr>
          <w:rFonts w:asciiTheme="minorHAnsi" w:hAnsiTheme="minorHAnsi" w:cstheme="minorHAnsi"/>
          <w:sz w:val="24"/>
          <w:szCs w:val="24"/>
        </w:rPr>
        <w:lastRenderedPageBreak/>
        <w:t>il</w:t>
      </w:r>
      <w:proofErr w:type="gramEnd"/>
      <w:r w:rsidRPr="006A79BE">
        <w:rPr>
          <w:rFonts w:asciiTheme="minorHAnsi" w:hAnsiTheme="minorHAnsi" w:cstheme="minorHAnsi"/>
          <w:sz w:val="24"/>
          <w:szCs w:val="24"/>
        </w:rPr>
        <w:t xml:space="preserve"> Piano Triennale di Prevenzione</w:t>
      </w:r>
      <w:r>
        <w:rPr>
          <w:rFonts w:asciiTheme="minorHAnsi" w:hAnsiTheme="minorHAnsi" w:cstheme="minorHAnsi"/>
          <w:sz w:val="24"/>
          <w:szCs w:val="24"/>
        </w:rPr>
        <w:t xml:space="preserve"> della Corruzione (P.T.P.C) 2020</w:t>
      </w:r>
      <w:r w:rsidRPr="006A79BE">
        <w:rPr>
          <w:rFonts w:asciiTheme="minorHAnsi" w:hAnsiTheme="minorHAnsi" w:cstheme="minorHAnsi"/>
          <w:sz w:val="24"/>
          <w:szCs w:val="24"/>
        </w:rPr>
        <w:t>-20</w:t>
      </w:r>
      <w:r>
        <w:rPr>
          <w:rFonts w:asciiTheme="minorHAnsi" w:hAnsiTheme="minorHAnsi" w:cstheme="minorHAnsi"/>
          <w:sz w:val="24"/>
          <w:szCs w:val="24"/>
        </w:rPr>
        <w:t>22</w:t>
      </w:r>
      <w:r w:rsidRPr="006A79BE">
        <w:rPr>
          <w:rFonts w:asciiTheme="minorHAnsi" w:hAnsiTheme="minorHAnsi" w:cstheme="minorHAnsi"/>
          <w:sz w:val="24"/>
          <w:szCs w:val="24"/>
        </w:rPr>
        <w:t xml:space="preserve"> del Ministero della Difesa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SI CONVIENE QUANTO SEGUE</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b/>
          <w:sz w:val="24"/>
          <w:szCs w:val="24"/>
        </w:rPr>
        <w:t>Art. 1</w:t>
      </w:r>
      <w:r w:rsidRPr="006A79BE">
        <w:rPr>
          <w:rFonts w:asciiTheme="minorHAnsi" w:hAnsiTheme="minorHAnsi" w:cstheme="minorHAnsi"/>
          <w:sz w:val="24"/>
          <w:szCs w:val="24"/>
        </w:rPr>
        <w:t xml:space="preserve"> - Il presente Patto d’integrità stabilisce la formale obbligazione della Ditta che, ai fini della partecipazione alla gara in oggetto, si impegna: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ad assicurare che non si è accordata e non si accorderà con altri partecipanti alla gara per limitare o eludere la concorrenza;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ad informare puntualmente tutto il personale, di cui si avvale, del presente Patto di integrità e degli obblighi in esso contenuti;</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vigilare affinché gli impegni sopra indicati siano osservati da tutti i collaboratori e dipendenti nell’esercizio dei compiti loro assegnati;</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denunciare alla Pubblica Autorità competente ogni irregolarità o distorsione di cui sia venuta a conoscenza per quanto attiene l’attività di cui all’oggetto della gara in causa.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b/>
          <w:sz w:val="24"/>
          <w:szCs w:val="24"/>
        </w:rPr>
        <w:t>Art. 2</w:t>
      </w:r>
      <w:r w:rsidRPr="006A79BE">
        <w:rPr>
          <w:rFonts w:asciiTheme="minorHAnsi" w:hAnsiTheme="minorHAnsi" w:cstheme="minorHAnsi"/>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esclusione del concorrente dalla gara;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escussione della cauzione di validità dell’offerta;</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risoluzione del contratto;</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escussione della cauzione di buona esecuzione del contratto;</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esclusione del concorrente dalle gare indette dalla stazione appaltante per 5 anni.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b/>
          <w:bCs/>
          <w:sz w:val="24"/>
          <w:szCs w:val="24"/>
        </w:rPr>
        <w:t xml:space="preserve">Art. 3 – </w:t>
      </w:r>
      <w:r w:rsidRPr="006A79BE">
        <w:rPr>
          <w:rFonts w:asciiTheme="minorHAnsi" w:hAnsiTheme="minorHAnsi" w:cstheme="minorHAnsi"/>
          <w:sz w:val="24"/>
          <w:szCs w:val="24"/>
        </w:rPr>
        <w:t xml:space="preserve">Fermo restando quanto previsto dai precedenti articoli 1 e 2, in aderenza alle prescrizioni in materia di anticorruzione contenute nel </w:t>
      </w:r>
      <w:proofErr w:type="spellStart"/>
      <w:r w:rsidRPr="006A79BE">
        <w:rPr>
          <w:rFonts w:asciiTheme="minorHAnsi" w:hAnsiTheme="minorHAnsi" w:cstheme="minorHAnsi"/>
          <w:sz w:val="24"/>
          <w:szCs w:val="24"/>
        </w:rPr>
        <w:t>d.l.</w:t>
      </w:r>
      <w:proofErr w:type="spellEnd"/>
      <w:r w:rsidRPr="006A79BE">
        <w:rPr>
          <w:rFonts w:asciiTheme="minorHAnsi" w:hAnsiTheme="minorHAnsi" w:cstheme="minorHAnsi"/>
          <w:sz w:val="24"/>
          <w:szCs w:val="24"/>
        </w:rPr>
        <w:t xml:space="preserve"> 90/2014 convertito dalla l. 114/2014: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w:t>
      </w:r>
      <w:r w:rsidRPr="006A79BE">
        <w:rPr>
          <w:rFonts w:asciiTheme="minorHAnsi" w:hAnsiTheme="minorHAnsi" w:cstheme="minorHAnsi"/>
          <w:sz w:val="24"/>
          <w:szCs w:val="24"/>
        </w:rPr>
        <w:lastRenderedPageBreak/>
        <w:t xml:space="preserve">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6A79BE">
        <w:rPr>
          <w:rFonts w:asciiTheme="minorHAnsi" w:hAnsiTheme="minorHAnsi" w:cstheme="minorHAnsi"/>
          <w:sz w:val="24"/>
          <w:szCs w:val="24"/>
        </w:rPr>
        <w:t>d.l.</w:t>
      </w:r>
      <w:proofErr w:type="spellEnd"/>
      <w:r w:rsidRPr="006A79BE">
        <w:rPr>
          <w:rFonts w:asciiTheme="minorHAnsi" w:hAnsiTheme="minorHAnsi" w:cstheme="minorHAnsi"/>
          <w:sz w:val="24"/>
          <w:szCs w:val="24"/>
        </w:rPr>
        <w:t xml:space="preserve"> 90/2014.</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w:t>
      </w:r>
      <w:bookmarkStart w:id="5" w:name="_GoBack"/>
      <w:bookmarkEnd w:id="5"/>
      <w:r w:rsidRPr="006A79BE">
        <w:rPr>
          <w:rFonts w:asciiTheme="minorHAnsi" w:hAnsiTheme="minorHAnsi" w:cstheme="minorHAnsi"/>
          <w:sz w:val="24"/>
          <w:szCs w:val="24"/>
        </w:rPr>
        <w:t xml:space="preserve">ssere presentato unitamente all'offerta. La mancata consegna di tale Patto debitamente sottoscritto comporterà l'esclusione dalla gara. </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Art. 6 - Ogni controversia relativa all’interpretazione ed esecuzione del Patto d’integrità fra la stazione appaltante e i concorrenti e tra gli stessi concorrenti sarà risolta dall’Autorità Giudiziaria competente.</w:t>
      </w:r>
    </w:p>
    <w:p w:rsidR="00F96A83" w:rsidRPr="006A79BE" w:rsidRDefault="00F96A83" w:rsidP="00F96A83">
      <w:pPr>
        <w:jc w:val="both"/>
        <w:rPr>
          <w:rFonts w:asciiTheme="minorHAnsi" w:hAnsiTheme="minorHAnsi" w:cstheme="minorHAnsi"/>
          <w:sz w:val="24"/>
          <w:szCs w:val="24"/>
        </w:rPr>
      </w:pPr>
      <w:r w:rsidRPr="006A79BE">
        <w:rPr>
          <w:rFonts w:asciiTheme="minorHAnsi" w:hAnsiTheme="minorHAnsi" w:cstheme="minorHAnsi"/>
          <w:sz w:val="24"/>
          <w:szCs w:val="24"/>
        </w:rPr>
        <w:t>Luogo e data ………………….</w:t>
      </w:r>
      <w:r w:rsidRPr="006A79BE">
        <w:rPr>
          <w:rFonts w:asciiTheme="minorHAnsi" w:hAnsiTheme="minorHAnsi" w:cstheme="minorHAnsi"/>
          <w:sz w:val="24"/>
          <w:szCs w:val="24"/>
        </w:rPr>
        <w:tab/>
      </w:r>
      <w:r w:rsidRPr="006A79BE">
        <w:rPr>
          <w:rFonts w:asciiTheme="minorHAnsi" w:hAnsiTheme="minorHAnsi" w:cstheme="minorHAnsi"/>
          <w:sz w:val="24"/>
          <w:szCs w:val="24"/>
        </w:rPr>
        <w:tab/>
        <w:t>Per la ditta:</w:t>
      </w:r>
      <w:r>
        <w:rPr>
          <w:rFonts w:asciiTheme="minorHAnsi" w:hAnsiTheme="minorHAnsi" w:cstheme="minorHAnsi"/>
          <w:sz w:val="24"/>
          <w:szCs w:val="24"/>
        </w:rPr>
        <w:t xml:space="preserve"> </w:t>
      </w:r>
      <w:r w:rsidRPr="006A79BE">
        <w:rPr>
          <w:rFonts w:asciiTheme="minorHAnsi" w:hAnsiTheme="minorHAnsi" w:cstheme="minorHAnsi"/>
          <w:sz w:val="24"/>
          <w:szCs w:val="24"/>
        </w:rPr>
        <w:t>_____________________________</w:t>
      </w:r>
    </w:p>
    <w:p w:rsidR="00D142D8" w:rsidRDefault="00F96A83" w:rsidP="00F96A83">
      <w:r w:rsidRPr="006A79BE">
        <w:rPr>
          <w:rFonts w:asciiTheme="minorHAnsi" w:hAnsiTheme="minorHAnsi" w:cstheme="minorHAnsi"/>
          <w:sz w:val="24"/>
          <w:szCs w:val="24"/>
        </w:rPr>
        <w:t>(</w:t>
      </w:r>
      <w:proofErr w:type="gramStart"/>
      <w:r w:rsidRPr="006A79BE">
        <w:rPr>
          <w:rFonts w:asciiTheme="minorHAnsi" w:hAnsiTheme="minorHAnsi" w:cstheme="minorHAnsi"/>
          <w:sz w:val="24"/>
          <w:szCs w:val="24"/>
        </w:rPr>
        <w:t>il</w:t>
      </w:r>
      <w:proofErr w:type="gramEnd"/>
      <w:r w:rsidRPr="006A79BE">
        <w:rPr>
          <w:rFonts w:asciiTheme="minorHAnsi" w:hAnsiTheme="minorHAnsi" w:cstheme="minorHAnsi"/>
          <w:sz w:val="24"/>
          <w:szCs w:val="24"/>
        </w:rPr>
        <w:t xml:space="preserve"> legale rappresentante) </w:t>
      </w:r>
    </w:p>
    <w:sectPr w:rsidR="00D14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A83"/>
    <w:rsid w:val="000610DA"/>
    <w:rsid w:val="001D5897"/>
    <w:rsid w:val="002B40A4"/>
    <w:rsid w:val="006244D5"/>
    <w:rsid w:val="00852C65"/>
    <w:rsid w:val="008F0EE9"/>
    <w:rsid w:val="00D142D8"/>
    <w:rsid w:val="00EF47B1"/>
    <w:rsid w:val="00F75D54"/>
    <w:rsid w:val="00F96A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520F2F-AECC-4D95-8210-4B2DDB14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96A83"/>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F96A83"/>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6A83"/>
    <w:rPr>
      <w:rFonts w:ascii="Cambria" w:eastAsia="Times New Roman" w:hAnsi="Cambria" w:cs="Times New Roman"/>
      <w:b/>
      <w:bCs/>
      <w:kern w:val="32"/>
      <w:sz w:val="32"/>
      <w:szCs w:val="32"/>
    </w:rPr>
  </w:style>
  <w:style w:type="character" w:styleId="Collegamentoipertestuale">
    <w:name w:val="Hyperlink"/>
    <w:uiPriority w:val="99"/>
    <w:unhideWhenUsed/>
    <w:rsid w:val="00F96A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quistinretepa.it" TargetMode="External"/><Relationship Id="rId5" Type="http://schemas.openxmlformats.org/officeDocument/2006/relationships/hyperlink" Target="http://www.difesa.it/SGD-DNA/Staff/DT/GENIODIFE/Band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1428</Words>
  <Characters>8142</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1</cp:revision>
  <dcterms:created xsi:type="dcterms:W3CDTF">2020-09-21T06:05:00Z</dcterms:created>
  <dcterms:modified xsi:type="dcterms:W3CDTF">2020-09-21T06:06:00Z</dcterms:modified>
</cp:coreProperties>
</file>