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410D8" w14:textId="77777777" w:rsidR="00DE7253" w:rsidRDefault="00DE7253">
      <w:pPr>
        <w:jc w:val="center"/>
        <w:rPr>
          <w:rFonts w:ascii="Times New Roman" w:eastAsiaTheme="minorHAnsi" w:hAnsi="Times New Roman" w:cs="Times New Roman"/>
          <w:b/>
          <w:color w:val="000000"/>
          <w:sz w:val="32"/>
          <w:lang w:eastAsia="en-US"/>
        </w:rPr>
      </w:pPr>
    </w:p>
    <w:p w14:paraId="39E6FCB2" w14:textId="77777777" w:rsidR="00DE7253" w:rsidRDefault="00DE7253">
      <w:pPr>
        <w:jc w:val="center"/>
        <w:rPr>
          <w:rFonts w:ascii="Times New Roman" w:eastAsiaTheme="minorHAnsi" w:hAnsi="Times New Roman" w:cs="Times New Roman"/>
          <w:b/>
          <w:color w:val="000000"/>
          <w:sz w:val="32"/>
          <w:lang w:eastAsia="en-US"/>
        </w:rPr>
      </w:pPr>
    </w:p>
    <w:p w14:paraId="6D79046A" w14:textId="77777777" w:rsidR="00DE7253" w:rsidRDefault="00DE7253">
      <w:pPr>
        <w:jc w:val="center"/>
        <w:rPr>
          <w:rFonts w:ascii="Times New Roman" w:eastAsiaTheme="minorHAnsi" w:hAnsi="Times New Roman" w:cs="Times New Roman"/>
          <w:b/>
          <w:color w:val="000000"/>
          <w:sz w:val="32"/>
          <w:lang w:eastAsia="en-US"/>
        </w:rPr>
      </w:pPr>
    </w:p>
    <w:p w14:paraId="56AB48D9" w14:textId="77777777" w:rsidR="00DE7253" w:rsidRDefault="00DE7253">
      <w:pPr>
        <w:jc w:val="center"/>
        <w:rPr>
          <w:rFonts w:ascii="Times New Roman" w:eastAsiaTheme="minorHAnsi" w:hAnsi="Times New Roman" w:cs="Times New Roman"/>
          <w:b/>
          <w:color w:val="000000"/>
          <w:sz w:val="32"/>
          <w:lang w:eastAsia="en-US"/>
        </w:rPr>
      </w:pPr>
    </w:p>
    <w:p w14:paraId="1797AFFE" w14:textId="77777777" w:rsidR="00DE7253" w:rsidRPr="00DE7253" w:rsidRDefault="00DE7253" w:rsidP="00DE7253">
      <w:pPr>
        <w:jc w:val="center"/>
        <w:rPr>
          <w:rFonts w:ascii="Times New Roman" w:hAnsi="Times New Roman" w:cs="Times New Roman"/>
          <w:sz w:val="48"/>
          <w:szCs w:val="48"/>
        </w:rPr>
      </w:pPr>
      <w:r w:rsidRPr="00DE7253">
        <w:rPr>
          <w:rFonts w:ascii="Times New Roman" w:hAnsi="Times New Roman" w:cs="Times New Roman"/>
          <w:sz w:val="48"/>
          <w:szCs w:val="48"/>
        </w:rPr>
        <w:t>DIREZIONE DEGLI ARMAMENTI TERRESTRI</w:t>
      </w:r>
    </w:p>
    <w:p w14:paraId="314753D4" w14:textId="77777777" w:rsidR="00DE7253" w:rsidRPr="00DE7253" w:rsidRDefault="00DE7253" w:rsidP="00DE7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253">
        <w:rPr>
          <w:rFonts w:ascii="Times New Roman" w:hAnsi="Times New Roman" w:cs="Times New Roman"/>
          <w:sz w:val="28"/>
          <w:szCs w:val="28"/>
        </w:rPr>
        <w:t>I Reparto – 2^ Divisione</w:t>
      </w:r>
    </w:p>
    <w:p w14:paraId="1867BA78" w14:textId="77777777" w:rsidR="00DE7253" w:rsidRPr="00DE7253" w:rsidRDefault="00DE7253" w:rsidP="00DE725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6947E3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07F7B572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44F8920F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0F081368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43DD3AF9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192C3328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4FB3510F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2D3989E3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136B905A" w14:textId="77777777" w:rsidR="00DE7253" w:rsidRPr="00DE7253" w:rsidRDefault="00DE7253" w:rsidP="00DE7253">
      <w:pPr>
        <w:jc w:val="center"/>
        <w:rPr>
          <w:rFonts w:ascii="Times New Roman" w:hAnsi="Times New Roman" w:cs="Times New Roman"/>
        </w:rPr>
      </w:pPr>
    </w:p>
    <w:p w14:paraId="208D79BB" w14:textId="77777777" w:rsidR="00DE7253" w:rsidRPr="00DE7253" w:rsidRDefault="00DE7253" w:rsidP="00DE725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7253">
        <w:rPr>
          <w:rFonts w:ascii="Times New Roman" w:hAnsi="Times New Roman" w:cs="Times New Roman"/>
          <w:sz w:val="24"/>
          <w:szCs w:val="24"/>
        </w:rPr>
        <w:t>Capitolato Tecnico</w:t>
      </w:r>
    </w:p>
    <w:p w14:paraId="6E83B4C7" w14:textId="232D6814" w:rsidR="00DE7253" w:rsidRPr="00DE7253" w:rsidRDefault="00DE7253" w:rsidP="00DE7253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E7253">
        <w:rPr>
          <w:rFonts w:ascii="Times New Roman" w:hAnsi="Times New Roman" w:cs="Times New Roman"/>
          <w:sz w:val="24"/>
          <w:szCs w:val="24"/>
        </w:rPr>
        <w:t>per l’approvvigionamento di munizionamento marcante vari calibri e tipologie</w:t>
      </w:r>
      <w:r w:rsidR="006E20A3">
        <w:rPr>
          <w:rFonts w:ascii="Times New Roman" w:hAnsi="Times New Roman" w:cs="Times New Roman"/>
          <w:sz w:val="24"/>
          <w:szCs w:val="24"/>
        </w:rPr>
        <w:t xml:space="preserve"> </w:t>
      </w:r>
      <w:r w:rsidR="0065367C">
        <w:rPr>
          <w:rFonts w:ascii="Times New Roman" w:hAnsi="Times New Roman" w:cs="Times New Roman"/>
          <w:sz w:val="24"/>
          <w:szCs w:val="24"/>
        </w:rPr>
        <w:t>e kit di conversione</w:t>
      </w:r>
    </w:p>
    <w:p w14:paraId="4DBB18D3" w14:textId="77777777" w:rsidR="00DE7253" w:rsidRDefault="00DE7253" w:rsidP="00DE7253">
      <w:r>
        <w:br w:type="page"/>
      </w:r>
    </w:p>
    <w:p w14:paraId="34695275" w14:textId="626DB8E3" w:rsidR="008C59D1" w:rsidRDefault="00DE7253">
      <w:pPr>
        <w:jc w:val="center"/>
        <w:rPr>
          <w:color w:val="000000"/>
        </w:rPr>
      </w:pPr>
      <w:r>
        <w:rPr>
          <w:rFonts w:ascii="Times New Roman" w:eastAsiaTheme="minorHAnsi" w:hAnsi="Times New Roman" w:cs="Times New Roman"/>
          <w:b/>
          <w:color w:val="000000"/>
          <w:sz w:val="32"/>
          <w:lang w:eastAsia="en-US"/>
        </w:rPr>
        <w:lastRenderedPageBreak/>
        <w:t>CAPITOLATO</w:t>
      </w:r>
      <w:r w:rsidR="00C75E36">
        <w:rPr>
          <w:rFonts w:ascii="Times New Roman" w:eastAsiaTheme="minorHAnsi" w:hAnsi="Times New Roman" w:cs="Times New Roman"/>
          <w:b/>
          <w:color w:val="000000"/>
          <w:sz w:val="32"/>
          <w:lang w:eastAsia="en-US"/>
        </w:rPr>
        <w:t xml:space="preserve"> TECNICO </w:t>
      </w:r>
    </w:p>
    <w:p w14:paraId="6F810686" w14:textId="77777777" w:rsidR="0065367C" w:rsidRPr="0065367C" w:rsidRDefault="0065367C" w:rsidP="0065367C">
      <w:pPr>
        <w:pStyle w:val="Paragrafoelenco"/>
        <w:numPr>
          <w:ilvl w:val="0"/>
          <w:numId w:val="11"/>
        </w:numPr>
        <w:suppressAutoHyphens w:val="0"/>
        <w:spacing w:after="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5367C">
        <w:rPr>
          <w:rFonts w:ascii="Times New Roman" w:hAnsi="Times New Roman" w:cs="Times New Roman"/>
          <w:b/>
          <w:sz w:val="24"/>
          <w:szCs w:val="24"/>
        </w:rPr>
        <w:t>PREMESSA</w:t>
      </w:r>
    </w:p>
    <w:p w14:paraId="43E447C1" w14:textId="1AE41BF3" w:rsidR="0065367C" w:rsidRDefault="0065367C" w:rsidP="0065367C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 xml:space="preserve">Il presente Capitolato Tecnico (CT) disciplina l’approvvigionamento di </w:t>
      </w:r>
      <w:r w:rsidRPr="00DE7253">
        <w:rPr>
          <w:rFonts w:ascii="Times New Roman" w:hAnsi="Times New Roman" w:cs="Times New Roman"/>
          <w:sz w:val="24"/>
          <w:szCs w:val="24"/>
        </w:rPr>
        <w:t>munizionamento marcante vari calibri e tipologie</w:t>
      </w:r>
      <w:r>
        <w:rPr>
          <w:rFonts w:ascii="Times New Roman" w:hAnsi="Times New Roman" w:cs="Times New Roman"/>
          <w:sz w:val="24"/>
          <w:szCs w:val="24"/>
        </w:rPr>
        <w:t xml:space="preserve"> e kit di conversione</w:t>
      </w:r>
      <w:r w:rsidRPr="0065367C">
        <w:rPr>
          <w:rFonts w:ascii="Times New Roman" w:hAnsi="Times New Roman" w:cs="Times New Roman"/>
          <w:sz w:val="24"/>
          <w:szCs w:val="24"/>
        </w:rPr>
        <w:t>.</w:t>
      </w:r>
    </w:p>
    <w:p w14:paraId="4076132C" w14:textId="77777777" w:rsidR="007D674A" w:rsidRPr="0065367C" w:rsidRDefault="007D674A" w:rsidP="0065367C">
      <w:pPr>
        <w:spacing w:after="12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7A1815E" w14:textId="77777777" w:rsidR="0065367C" w:rsidRPr="0065367C" w:rsidRDefault="0065367C" w:rsidP="0065367C">
      <w:pPr>
        <w:pStyle w:val="Paragrafoelenco"/>
        <w:numPr>
          <w:ilvl w:val="0"/>
          <w:numId w:val="11"/>
        </w:numPr>
        <w:suppressAutoHyphens w:val="0"/>
        <w:spacing w:after="16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65367C">
        <w:rPr>
          <w:rFonts w:ascii="Times New Roman" w:hAnsi="Times New Roman" w:cs="Times New Roman"/>
          <w:b/>
          <w:sz w:val="24"/>
          <w:szCs w:val="24"/>
        </w:rPr>
        <w:t>CONTROLLO DI QUALITÀ</w:t>
      </w:r>
    </w:p>
    <w:p w14:paraId="79ECCD36" w14:textId="77777777" w:rsidR="0065367C" w:rsidRPr="0065367C" w:rsidRDefault="0065367C" w:rsidP="0065367C">
      <w:pPr>
        <w:pStyle w:val="Paragrafoelenco"/>
        <w:numPr>
          <w:ilvl w:val="1"/>
          <w:numId w:val="11"/>
        </w:numPr>
        <w:suppressAutoHyphens w:val="0"/>
        <w:spacing w:after="0" w:line="240" w:lineRule="auto"/>
        <w:ind w:left="788" w:hanging="431"/>
        <w:contextualSpacing w:val="0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Generalità</w:t>
      </w:r>
    </w:p>
    <w:p w14:paraId="49C5B2CE" w14:textId="77777777" w:rsidR="00E45064" w:rsidRDefault="0065367C" w:rsidP="00E45064">
      <w:pPr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La Ditta deve redigere e fare approvare dall’Ente Gestore il piano di qualità di commessa.</w:t>
      </w:r>
    </w:p>
    <w:p w14:paraId="28A1BA00" w14:textId="77777777" w:rsidR="00E45064" w:rsidRDefault="00E45064" w:rsidP="00E45064">
      <w:pPr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dovrà redigere un piano di gestione della configurazione.</w:t>
      </w:r>
    </w:p>
    <w:p w14:paraId="10AE8645" w14:textId="1F7E4E42" w:rsidR="0065367C" w:rsidRPr="0065367C" w:rsidRDefault="00E45064" w:rsidP="0065367C">
      <w:pPr>
        <w:spacing w:after="12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5367C" w:rsidRPr="0065367C">
        <w:rPr>
          <w:rFonts w:ascii="Times New Roman" w:hAnsi="Times New Roman" w:cs="Times New Roman"/>
          <w:sz w:val="24"/>
          <w:szCs w:val="24"/>
        </w:rPr>
        <w:t xml:space="preserve"> sistemi di qualità della Ditta dovranno corrispondere ai requisiti ISO 9001 e/o AQAP 2110 e saranno soggetti a verifica dall’Ente Gestore.</w:t>
      </w:r>
    </w:p>
    <w:p w14:paraId="1261B506" w14:textId="77777777" w:rsidR="0065367C" w:rsidRPr="0065367C" w:rsidRDefault="0065367C" w:rsidP="0065367C">
      <w:pPr>
        <w:pStyle w:val="Paragrafoelenco"/>
        <w:numPr>
          <w:ilvl w:val="1"/>
          <w:numId w:val="11"/>
        </w:numPr>
        <w:suppressAutoHyphens w:val="0"/>
        <w:spacing w:after="0" w:line="240" w:lineRule="auto"/>
        <w:ind w:left="788" w:hanging="431"/>
        <w:contextualSpacing w:val="0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Piano di Qualità di Commessa</w:t>
      </w:r>
    </w:p>
    <w:p w14:paraId="0DDC06B6" w14:textId="77777777" w:rsidR="00E45064" w:rsidRDefault="00E45064" w:rsidP="00E45064">
      <w:pPr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 xml:space="preserve">La presentazione del piano di qualità di </w:t>
      </w:r>
      <w:r>
        <w:rPr>
          <w:rFonts w:ascii="Times New Roman" w:hAnsi="Times New Roman" w:cs="Times New Roman"/>
          <w:sz w:val="24"/>
          <w:szCs w:val="24"/>
        </w:rPr>
        <w:t>commessa dovrà avvenire entro 15</w:t>
      </w:r>
      <w:r w:rsidRPr="0065367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quindici</w:t>
      </w:r>
      <w:r w:rsidRPr="0065367C">
        <w:rPr>
          <w:rFonts w:ascii="Times New Roman" w:hAnsi="Times New Roman" w:cs="Times New Roman"/>
          <w:sz w:val="24"/>
          <w:szCs w:val="24"/>
        </w:rPr>
        <w:t>) giorni a decorrere dal giorno successivo al ricevimento della notifica di avvenuta approvazione del contratto. Le richieste, da parte dell’Ente Gestore, di modifica del piano di qualità di commessa dovranno ess</w:t>
      </w:r>
      <w:r>
        <w:rPr>
          <w:rFonts w:ascii="Times New Roman" w:hAnsi="Times New Roman" w:cs="Times New Roman"/>
          <w:sz w:val="24"/>
          <w:szCs w:val="24"/>
        </w:rPr>
        <w:t xml:space="preserve">ere eseguite dalla Ditta entro </w:t>
      </w:r>
      <w:r w:rsidRPr="0065367C">
        <w:rPr>
          <w:rFonts w:ascii="Times New Roman" w:hAnsi="Times New Roman" w:cs="Times New Roman"/>
          <w:sz w:val="24"/>
          <w:szCs w:val="24"/>
        </w:rPr>
        <w:t>5 (</w:t>
      </w:r>
      <w:r>
        <w:rPr>
          <w:rFonts w:ascii="Times New Roman" w:hAnsi="Times New Roman" w:cs="Times New Roman"/>
          <w:sz w:val="24"/>
          <w:szCs w:val="24"/>
        </w:rPr>
        <w:t>cinque</w:t>
      </w:r>
      <w:r w:rsidRPr="0065367C">
        <w:rPr>
          <w:rFonts w:ascii="Times New Roman" w:hAnsi="Times New Roman" w:cs="Times New Roman"/>
          <w:sz w:val="24"/>
          <w:szCs w:val="24"/>
        </w:rPr>
        <w:t xml:space="preserve">) giorni a decorrere dal giorno successivo al ricevimento della notifica. Le attività avranno inizio ad avvenuta approvazione da parte dell’Ente Gestore del piano di qualità di commessa. </w:t>
      </w:r>
    </w:p>
    <w:p w14:paraId="099A43B0" w14:textId="7E237400" w:rsidR="00E45064" w:rsidRDefault="00E45064" w:rsidP="00E45064">
      <w:pPr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Detto piano potrà essere riesaminato e revisionato durante lo svolgimento del contratto.</w:t>
      </w:r>
    </w:p>
    <w:p w14:paraId="496A643F" w14:textId="4CFA275E" w:rsidR="0065367C" w:rsidRPr="0065367C" w:rsidRDefault="0065367C" w:rsidP="00E45064">
      <w:pPr>
        <w:spacing w:after="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Il piano di qualità di commessa dovrà contenere:</w:t>
      </w:r>
    </w:p>
    <w:p w14:paraId="1194A027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la descrizione delle attività oggetto del contratto, recependo le direttive di cui al seguente punto 3;</w:t>
      </w:r>
    </w:p>
    <w:p w14:paraId="0DD0B4CA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l’elenco dei documenti che saranno consegnati all’atto dell’approntamento alla verifica di conformità;</w:t>
      </w:r>
    </w:p>
    <w:p w14:paraId="1AB45AD7" w14:textId="77777777" w:rsid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120" w:line="240" w:lineRule="auto"/>
        <w:ind w:left="11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67C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65367C">
        <w:rPr>
          <w:rFonts w:ascii="Times New Roman" w:hAnsi="Times New Roman" w:cs="Times New Roman"/>
          <w:sz w:val="24"/>
          <w:szCs w:val="24"/>
        </w:rPr>
        <w:t xml:space="preserve"> pianificazione temporale delle attività.</w:t>
      </w:r>
    </w:p>
    <w:p w14:paraId="638EAE6B" w14:textId="0BC9134C" w:rsidR="008519B6" w:rsidRPr="008519B6" w:rsidRDefault="008519B6" w:rsidP="008519B6">
      <w:pPr>
        <w:suppressAutoHyphens w:val="0"/>
        <w:spacing w:after="120" w:line="240" w:lineRule="auto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Il piano di qualità di commessa dovrà</w:t>
      </w:r>
      <w:r>
        <w:rPr>
          <w:rFonts w:ascii="Times New Roman" w:hAnsi="Times New Roman" w:cs="Times New Roman"/>
          <w:sz w:val="24"/>
          <w:szCs w:val="24"/>
        </w:rPr>
        <w:t xml:space="preserve"> essere redatto in conformità alla AQAP 2105.</w:t>
      </w:r>
    </w:p>
    <w:p w14:paraId="140D9917" w14:textId="77777777" w:rsidR="0065367C" w:rsidRDefault="0065367C" w:rsidP="0065367C">
      <w:pPr>
        <w:spacing w:after="120" w:line="240" w:lineRule="auto"/>
        <w:ind w:left="7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67C">
        <w:rPr>
          <w:rFonts w:ascii="Times New Roman" w:hAnsi="Times New Roman" w:cs="Times New Roman"/>
          <w:b/>
          <w:sz w:val="24"/>
          <w:szCs w:val="24"/>
        </w:rPr>
        <w:t>Il piano di qualità di commessa dovrà contenere inoltre informazioni di dettaglio relative a chi, come, quando e dove viene eseguita ciascuna attività contrattuale.</w:t>
      </w:r>
    </w:p>
    <w:p w14:paraId="0B8A2115" w14:textId="2908618B" w:rsidR="00E45064" w:rsidRDefault="00E45064" w:rsidP="00E45064">
      <w:pPr>
        <w:pStyle w:val="Paragrafoelenco"/>
        <w:numPr>
          <w:ilvl w:val="1"/>
          <w:numId w:val="11"/>
        </w:numPr>
        <w:suppressAutoHyphens w:val="0"/>
        <w:spacing w:after="0" w:line="240" w:lineRule="auto"/>
        <w:ind w:left="788" w:hanging="431"/>
        <w:contextualSpacing w:val="0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 xml:space="preserve">Piano di </w:t>
      </w:r>
      <w:r>
        <w:rPr>
          <w:rFonts w:ascii="Times New Roman" w:hAnsi="Times New Roman" w:cs="Times New Roman"/>
          <w:sz w:val="24"/>
          <w:szCs w:val="24"/>
        </w:rPr>
        <w:t>Gestione della configurazione</w:t>
      </w:r>
    </w:p>
    <w:p w14:paraId="7301D9AB" w14:textId="73D19172" w:rsidR="00E45064" w:rsidRPr="0065367C" w:rsidRDefault="00E45064" w:rsidP="002B2A16">
      <w:pPr>
        <w:pStyle w:val="Paragrafoelenco"/>
        <w:suppressAutoHyphens w:val="0"/>
        <w:spacing w:after="0" w:line="240" w:lineRule="auto"/>
        <w:ind w:left="7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Dovrà essere redatto un</w:t>
      </w:r>
      <w:r w:rsidRPr="00E45064">
        <w:rPr>
          <w:rFonts w:ascii="Times New Roman" w:hAnsi="Times New Roman" w:cs="Times New Roman"/>
          <w:sz w:val="24"/>
          <w:szCs w:val="24"/>
        </w:rPr>
        <w:t xml:space="preserve"> piano di gestio</w:t>
      </w:r>
      <w:r>
        <w:rPr>
          <w:rFonts w:ascii="Times New Roman" w:hAnsi="Times New Roman" w:cs="Times New Roman"/>
          <w:sz w:val="24"/>
          <w:szCs w:val="24"/>
        </w:rPr>
        <w:t>ne della configurazione</w:t>
      </w:r>
      <w:r w:rsidRPr="00E45064">
        <w:rPr>
          <w:rFonts w:ascii="Times New Roman" w:hAnsi="Times New Roman" w:cs="Times New Roman"/>
          <w:sz w:val="24"/>
          <w:szCs w:val="24"/>
        </w:rPr>
        <w:t xml:space="preserve"> in conformità alla TER.O-0C-00-CONFIGURAZIONE-001-B000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B6B68F" w14:textId="77777777" w:rsidR="0065367C" w:rsidRPr="0065367C" w:rsidRDefault="0065367C" w:rsidP="0065367C">
      <w:pPr>
        <w:pStyle w:val="Paragrafoelenco"/>
        <w:numPr>
          <w:ilvl w:val="1"/>
          <w:numId w:val="11"/>
        </w:numPr>
        <w:suppressAutoHyphens w:val="0"/>
        <w:spacing w:before="120" w:after="0" w:line="240" w:lineRule="auto"/>
        <w:ind w:left="788" w:hanging="431"/>
        <w:contextualSpacing w:val="0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Assicurazione Qualità Governativa</w:t>
      </w:r>
    </w:p>
    <w:p w14:paraId="4486766C" w14:textId="77777777" w:rsidR="0065367C" w:rsidRPr="0065367C" w:rsidRDefault="0065367C" w:rsidP="0065367C">
      <w:pPr>
        <w:spacing w:after="0" w:line="240" w:lineRule="auto"/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Le attività afferenti alla fornitura saranno assoggettate a sorveglianza da parte del Servizio Governativo Assicurazione Qualità, attuato dall’Ente Gestore attraverso il QAR. Pertanto, occorre garantire, lungo tutta la catena produttiva, che:</w:t>
      </w:r>
    </w:p>
    <w:p w14:paraId="7579EB57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sia istituito e mantenuto in essere un sistema di controllo della qualità per la verifica durante le fasi di realizzazione dell’assenza di scostamenti dai livelli qualitativi attesi;</w:t>
      </w:r>
    </w:p>
    <w:p w14:paraId="61466E33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le procedure di controllo siano documentate e costantemente aggiornate;</w:t>
      </w:r>
    </w:p>
    <w:p w14:paraId="65FE95A2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siano precisate le modalità da seguire in ciascun posto di controllo, comprese quelle relative all'accertamento dell'adeguatezza dei controlli;</w:t>
      </w:r>
    </w:p>
    <w:p w14:paraId="72BF5266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tutti gli ordini di materiali e lavorazioni contengano esplicita clausola per consentire l’accesso del personale del QAR presso i subfornitori;</w:t>
      </w:r>
    </w:p>
    <w:p w14:paraId="30C8F822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siano conservate le registrazioni di tutti i controlli compiuti per dimostrare la conformità ai requisiti;</w:t>
      </w:r>
    </w:p>
    <w:p w14:paraId="28E40B8B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al rilascio dei materiali, ivi incluse le subforniture, gli stessi siano corredati dal certificato di conformità;</w:t>
      </w:r>
    </w:p>
    <w:p w14:paraId="4F9B8925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durante ogni fase di produzione siano effettuati i controlli di processo inerenti a quelle caratteristiche che non possono essere verificate ad uno stadio successivo;</w:t>
      </w:r>
    </w:p>
    <w:p w14:paraId="1CE92C62" w14:textId="77777777" w:rsidR="0065367C" w:rsidRPr="0065367C" w:rsidRDefault="0065367C" w:rsidP="0065367C">
      <w:pPr>
        <w:pStyle w:val="Paragrafoelenco"/>
        <w:numPr>
          <w:ilvl w:val="0"/>
          <w:numId w:val="12"/>
        </w:numPr>
        <w:suppressAutoHyphens w:val="0"/>
        <w:spacing w:after="120" w:line="240" w:lineRule="auto"/>
        <w:ind w:left="11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lastRenderedPageBreak/>
        <w:t xml:space="preserve">vi sia un costante e tempestivo flusso di informazioni verso l’Ente Gestore del contratto, ivi inclusi l’avvio delle lavorazioni e di ogni fase individuata preventivamente dal QAR in esito all’analisi del Piano di Controllo della Qualità. Tra le fasi salienti dovranno essere comprese almeno le fasi di controllo balistico intermedie e finali, allo scopo di poter essere assunte per le valutazioni dalla Commissione di Verifica di Conformità. </w:t>
      </w:r>
    </w:p>
    <w:p w14:paraId="3469527C" w14:textId="30E47D35" w:rsidR="008C59D1" w:rsidRPr="0065367C" w:rsidRDefault="0065367C" w:rsidP="007D674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567" w:hanging="428"/>
        <w:jc w:val="both"/>
        <w:rPr>
          <w:b/>
          <w:bCs/>
          <w:sz w:val="24"/>
        </w:rPr>
      </w:pPr>
      <w:r w:rsidRPr="0065367C">
        <w:rPr>
          <w:rFonts w:ascii="Times New Roman" w:hAnsi="Times New Roman" w:cs="Times New Roman"/>
          <w:b/>
          <w:bCs/>
          <w:sz w:val="24"/>
        </w:rPr>
        <w:t>PRESCRIZIONI TECNICHE</w:t>
      </w:r>
      <w:r w:rsidR="00C75E36" w:rsidRPr="0065367C">
        <w:rPr>
          <w:rFonts w:ascii="Times New Roman" w:hAnsi="Times New Roman" w:cs="Times New Roman"/>
          <w:b/>
          <w:bCs/>
          <w:sz w:val="24"/>
        </w:rPr>
        <w:tab/>
      </w:r>
    </w:p>
    <w:p w14:paraId="3469528C" w14:textId="64D60ED7" w:rsidR="008C59D1" w:rsidRPr="0065367C" w:rsidRDefault="0065367C" w:rsidP="007D674A">
      <w:pPr>
        <w:pStyle w:val="Paragrafoelenco"/>
        <w:numPr>
          <w:ilvl w:val="1"/>
          <w:numId w:val="15"/>
        </w:numPr>
        <w:suppressAutoHyphens w:val="0"/>
        <w:spacing w:after="0" w:line="24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65367C">
        <w:rPr>
          <w:rFonts w:ascii="Times New Roman" w:hAnsi="Times New Roman" w:cs="Times New Roman"/>
          <w:sz w:val="24"/>
          <w:szCs w:val="24"/>
        </w:rPr>
        <w:t>Caratteristiche e prestazioni munizione marcante rosso/blu</w:t>
      </w:r>
    </w:p>
    <w:p w14:paraId="7BC52041" w14:textId="77777777" w:rsidR="007D674A" w:rsidRPr="00A815B1" w:rsidRDefault="007D674A" w:rsidP="007D674A">
      <w:pPr>
        <w:spacing w:after="0" w:line="240" w:lineRule="auto"/>
        <w:ind w:left="993"/>
        <w:rPr>
          <w:rFonts w:ascii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 xml:space="preserve">Le </w:t>
      </w:r>
      <w:r w:rsidRPr="0069304A">
        <w:rPr>
          <w:rFonts w:ascii="Times New Roman" w:hAnsi="Times New Roman" w:cs="Times New Roman"/>
          <w:b/>
          <w:color w:val="000000"/>
          <w:sz w:val="24"/>
        </w:rPr>
        <w:t>munizioni</w:t>
      </w:r>
      <w:r w:rsidRPr="00A815B1">
        <w:rPr>
          <w:rFonts w:ascii="Times New Roman" w:hAnsi="Times New Roman" w:cs="Times New Roman"/>
          <w:color w:val="000000"/>
          <w:sz w:val="24"/>
        </w:rPr>
        <w:t xml:space="preserve"> in fornitura dovranno essere:</w:t>
      </w:r>
    </w:p>
    <w:p w14:paraId="547368E7" w14:textId="77777777" w:rsidR="007D674A" w:rsidRPr="0069304A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 w:hanging="357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 xml:space="preserve">compatibili con i kit di conversione e i caricatori </w:t>
      </w:r>
      <w:r w:rsidRPr="00A815B1">
        <w:rPr>
          <w:rFonts w:ascii="Times New Roman" w:hAnsi="Times New Roman" w:cs="Times New Roman"/>
          <w:sz w:val="24"/>
        </w:rPr>
        <w:t xml:space="preserve">SIMUNITION® FX® </w:t>
      </w:r>
      <w:r w:rsidRPr="00A815B1">
        <w:rPr>
          <w:rFonts w:ascii="Times New Roman" w:hAnsi="Times New Roman" w:cs="Times New Roman"/>
          <w:color w:val="000000"/>
          <w:sz w:val="24"/>
        </w:rPr>
        <w:t>già in ciclo logistico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A815B1">
        <w:rPr>
          <w:rFonts w:ascii="Times New Roman" w:hAnsi="Times New Roman" w:cs="Times New Roman"/>
          <w:color w:val="000000"/>
          <w:sz w:val="24"/>
        </w:rPr>
        <w:t>in dotazione all’Esercito e alla Marina Italiana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69304A">
        <w:rPr>
          <w:rFonts w:ascii="Times New Roman" w:hAnsi="Times New Roman" w:cs="Times New Roman"/>
          <w:color w:val="000000"/>
          <w:sz w:val="24"/>
        </w:rPr>
        <w:t>per:</w:t>
      </w:r>
    </w:p>
    <w:p w14:paraId="6A8C5988" w14:textId="0C0F5E51" w:rsidR="007D674A" w:rsidRPr="00A815B1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 w:hanging="425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A815B1">
        <w:rPr>
          <w:rFonts w:ascii="Times New Roman" w:hAnsi="Times New Roman" w:cs="Times New Roman"/>
          <w:color w:val="000000"/>
          <w:sz w:val="24"/>
        </w:rPr>
        <w:t>fucile</w:t>
      </w:r>
      <w:proofErr w:type="gramEnd"/>
      <w:r w:rsidRPr="00A815B1">
        <w:rPr>
          <w:rFonts w:ascii="Times New Roman" w:hAnsi="Times New Roman" w:cs="Times New Roman"/>
          <w:color w:val="000000"/>
          <w:sz w:val="24"/>
        </w:rPr>
        <w:t xml:space="preserve"> d’assalto Beretta ARX-160;</w:t>
      </w:r>
    </w:p>
    <w:p w14:paraId="25539AAA" w14:textId="77777777" w:rsidR="007D674A" w:rsidRPr="00A815B1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 w:hanging="425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>mitragliatrice leggera FN Minimi;</w:t>
      </w:r>
    </w:p>
    <w:p w14:paraId="13612096" w14:textId="77777777" w:rsidR="007D674A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 w:hanging="425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>pistola Beretta 92FS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14:paraId="102BD025" w14:textId="77777777" w:rsidR="007D674A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>per la fornitura riferita alla Marina,</w:t>
      </w:r>
      <w:r>
        <w:rPr>
          <w:rFonts w:ascii="Times New Roman" w:hAnsi="Times New Roman" w:cs="Times New Roman"/>
          <w:color w:val="000000"/>
          <w:sz w:val="24"/>
        </w:rPr>
        <w:t xml:space="preserve"> compatibili anche</w:t>
      </w:r>
      <w:r w:rsidRPr="00A815B1">
        <w:rPr>
          <w:rFonts w:ascii="Times New Roman" w:hAnsi="Times New Roman" w:cs="Times New Roman"/>
          <w:color w:val="000000"/>
          <w:sz w:val="24"/>
        </w:rPr>
        <w:t xml:space="preserve"> con i kit di conversione in contestuale acquisizione</w:t>
      </w:r>
      <w:r>
        <w:rPr>
          <w:rFonts w:ascii="Times New Roman" w:hAnsi="Times New Roman" w:cs="Times New Roman"/>
          <w:color w:val="000000"/>
          <w:sz w:val="24"/>
        </w:rPr>
        <w:t xml:space="preserve"> per:</w:t>
      </w:r>
    </w:p>
    <w:p w14:paraId="7BDCD103" w14:textId="77777777" w:rsidR="007D674A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>pistola Beretta 92FS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14:paraId="614B5B6C" w14:textId="4E17496F" w:rsidR="007D674A" w:rsidRPr="0069304A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HK MP5</w:t>
      </w:r>
      <w:r w:rsidR="00712D10">
        <w:rPr>
          <w:rFonts w:ascii="Times New Roman" w:hAnsi="Times New Roman" w:cs="Times New Roman"/>
          <w:color w:val="000000"/>
          <w:sz w:val="24"/>
        </w:rPr>
        <w:t xml:space="preserve"> A5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14:paraId="1A395A60" w14:textId="185E07CF" w:rsidR="007D674A" w:rsidRPr="007D674A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/>
        <w:contextualSpacing w:val="0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corredate dalla seguente documentazione:</w:t>
      </w:r>
    </w:p>
    <w:p w14:paraId="39989936" w14:textId="77777777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documento riportante le istruzioni per l’impiego in sicurezza delle munizioni;</w:t>
      </w:r>
    </w:p>
    <w:p w14:paraId="2E3A6D95" w14:textId="77777777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 xml:space="preserve">Ammunition Data Card del lotto con indicazione dei lotti (omogenei) dei singoli componenti; </w:t>
      </w:r>
    </w:p>
    <w:p w14:paraId="6E062C09" w14:textId="77777777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dichiarazione</w:t>
      </w:r>
      <w:r w:rsidRPr="007D674A">
        <w:rPr>
          <w:rFonts w:ascii="Times New Roman" w:eastAsia="Times New Roman" w:hAnsi="Times New Roman" w:cs="Times New Roman"/>
        </w:rPr>
        <w:footnoteReference w:id="1"/>
      </w:r>
      <w:r w:rsidRPr="007D674A">
        <w:rPr>
          <w:rFonts w:ascii="Times New Roman" w:eastAsia="Times New Roman" w:hAnsi="Times New Roman" w:cs="Times New Roman"/>
          <w:sz w:val="24"/>
        </w:rPr>
        <w:t xml:space="preserve"> REACH e relativi adempimenti;</w:t>
      </w:r>
    </w:p>
    <w:p w14:paraId="7DD44090" w14:textId="77777777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SSI (Scheda di Sicurezza Integrata) validata da ente terzo;</w:t>
      </w:r>
    </w:p>
    <w:p w14:paraId="52BDD8B6" w14:textId="77777777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SDI (Studio di Distribuzione degli Inquinanti) validato o redatto da ente terzo;</w:t>
      </w:r>
    </w:p>
    <w:p w14:paraId="582F9675" w14:textId="77777777" w:rsid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 xml:space="preserve">PSDS (Product </w:t>
      </w:r>
      <w:proofErr w:type="spellStart"/>
      <w:r w:rsidRPr="007D674A">
        <w:rPr>
          <w:rFonts w:ascii="Times New Roman" w:eastAsia="Times New Roman" w:hAnsi="Times New Roman" w:cs="Times New Roman"/>
          <w:sz w:val="24"/>
        </w:rPr>
        <w:t>Safety</w:t>
      </w:r>
      <w:proofErr w:type="spellEnd"/>
      <w:r w:rsidRPr="007D674A">
        <w:rPr>
          <w:rFonts w:ascii="Times New Roman" w:eastAsia="Times New Roman" w:hAnsi="Times New Roman" w:cs="Times New Roman"/>
          <w:sz w:val="24"/>
        </w:rPr>
        <w:t xml:space="preserve"> Data </w:t>
      </w:r>
      <w:proofErr w:type="spellStart"/>
      <w:r w:rsidRPr="007D674A">
        <w:rPr>
          <w:rFonts w:ascii="Times New Roman" w:eastAsia="Times New Roman" w:hAnsi="Times New Roman" w:cs="Times New Roman"/>
          <w:sz w:val="24"/>
        </w:rPr>
        <w:t>Sheet</w:t>
      </w:r>
      <w:proofErr w:type="spellEnd"/>
      <w:r w:rsidRPr="007D674A">
        <w:rPr>
          <w:rFonts w:ascii="Times New Roman" w:eastAsia="Times New Roman" w:hAnsi="Times New Roman" w:cs="Times New Roman"/>
          <w:sz w:val="24"/>
        </w:rPr>
        <w:t>) analoga a SSI ma intesa come richiesta di informazioni di sicurezza organizzate secondo l’articolazione della Scheda di Sicurezza (SDS) a 16 punti redatta in lingua italiana ed inglese;</w:t>
      </w:r>
    </w:p>
    <w:p w14:paraId="2D826A8E" w14:textId="760AFF2B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hAnsi="Times New Roman" w:cs="Times New Roman"/>
          <w:sz w:val="24"/>
          <w:szCs w:val="24"/>
        </w:rPr>
        <w:t xml:space="preserve">manuale di istruzione per l’uso e la manutenzione in lingua italiana redatto in aderenza alla pubblicazione TER.O-0P-00-PUBBLICAZIONI-001-B000 (modalità d’uso, raccomandazioni in caso di </w:t>
      </w:r>
      <w:proofErr w:type="spellStart"/>
      <w:r w:rsidRPr="007D674A">
        <w:rPr>
          <w:rFonts w:ascii="Times New Roman" w:hAnsi="Times New Roman" w:cs="Times New Roman"/>
          <w:sz w:val="24"/>
          <w:szCs w:val="24"/>
        </w:rPr>
        <w:t>misfiring</w:t>
      </w:r>
      <w:proofErr w:type="spellEnd"/>
      <w:r w:rsidRPr="007D674A">
        <w:rPr>
          <w:rFonts w:ascii="Times New Roman" w:hAnsi="Times New Roman" w:cs="Times New Roman"/>
          <w:sz w:val="24"/>
          <w:szCs w:val="24"/>
        </w:rPr>
        <w:t xml:space="preserve">, procedure per l’esecuzione della demilitarizzazione/decommissioning, procedure per l’esecuzione dei controlli di efficienza periodici durante e al termine della </w:t>
      </w:r>
      <w:proofErr w:type="spellStart"/>
      <w:r w:rsidRPr="007D674A">
        <w:rPr>
          <w:rFonts w:ascii="Times New Roman" w:hAnsi="Times New Roman" w:cs="Times New Roman"/>
          <w:sz w:val="24"/>
          <w:szCs w:val="24"/>
        </w:rPr>
        <w:t>shelf</w:t>
      </w:r>
      <w:proofErr w:type="spellEnd"/>
      <w:r w:rsidRPr="007D674A">
        <w:rPr>
          <w:rFonts w:ascii="Times New Roman" w:hAnsi="Times New Roman" w:cs="Times New Roman"/>
          <w:sz w:val="24"/>
          <w:szCs w:val="24"/>
        </w:rPr>
        <w:t>-life)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ABE643" w14:textId="77777777" w:rsidR="007D674A" w:rsidRPr="007D674A" w:rsidRDefault="007D674A" w:rsidP="007D674A">
      <w:pPr>
        <w:pStyle w:val="Paragrafoelenco"/>
        <w:numPr>
          <w:ilvl w:val="0"/>
          <w:numId w:val="17"/>
        </w:numPr>
        <w:suppressAutoHyphens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specifica tecnica della munizione, corredata, tra l’altro, di:</w:t>
      </w:r>
    </w:p>
    <w:p w14:paraId="41AD776D" w14:textId="77777777" w:rsidR="007D674A" w:rsidRPr="007D674A" w:rsidRDefault="007D674A" w:rsidP="007D674A">
      <w:pPr>
        <w:pStyle w:val="Paragrafoelenco"/>
        <w:numPr>
          <w:ilvl w:val="2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caratteristiche;</w:t>
      </w:r>
    </w:p>
    <w:p w14:paraId="36CB5755" w14:textId="77777777" w:rsidR="007D674A" w:rsidRPr="007D674A" w:rsidRDefault="007D674A" w:rsidP="007D674A">
      <w:pPr>
        <w:pStyle w:val="Paragrafoelenco"/>
        <w:numPr>
          <w:ilvl w:val="2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configurazione;</w:t>
      </w:r>
    </w:p>
    <w:p w14:paraId="31E21D57" w14:textId="77777777" w:rsidR="007D674A" w:rsidRPr="007D674A" w:rsidRDefault="007D674A" w:rsidP="007D674A">
      <w:pPr>
        <w:pStyle w:val="Paragrafoelenco"/>
        <w:numPr>
          <w:ilvl w:val="2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disegno tecnico di assieme;</w:t>
      </w:r>
    </w:p>
    <w:p w14:paraId="241B198D" w14:textId="77777777" w:rsidR="007D674A" w:rsidRPr="007D674A" w:rsidRDefault="007D674A" w:rsidP="007D674A">
      <w:pPr>
        <w:pStyle w:val="Paragrafoelenco"/>
        <w:numPr>
          <w:ilvl w:val="2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elenco dei test a cui è stata sottoposta la munizione per la certificazione della stessa;</w:t>
      </w:r>
    </w:p>
    <w:p w14:paraId="741FE041" w14:textId="0E6314E4" w:rsidR="007D674A" w:rsidRPr="007D674A" w:rsidRDefault="007D674A" w:rsidP="007D674A">
      <w:pPr>
        <w:pStyle w:val="Paragrafoelenco"/>
        <w:numPr>
          <w:ilvl w:val="2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D674A">
        <w:rPr>
          <w:rFonts w:ascii="Times New Roman" w:eastAsia="Times New Roman" w:hAnsi="Times New Roman" w:cs="Times New Roman"/>
          <w:sz w:val="24"/>
        </w:rPr>
        <w:t>matrice di rispondenza tra ciascuna caratteristica riportata nella specifica tecnica ed il relativo report di comprova.</w:t>
      </w:r>
    </w:p>
    <w:p w14:paraId="2787B0D0" w14:textId="77777777" w:rsidR="007D674A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/>
        <w:contextualSpacing w:val="0"/>
        <w:jc w:val="both"/>
        <w:rPr>
          <w:rFonts w:ascii="Times New Roman" w:eastAsia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>coperte da garanzia per l’</w:t>
      </w:r>
      <w:r w:rsidRPr="00A815B1">
        <w:rPr>
          <w:rFonts w:ascii="Times New Roman" w:eastAsia="Times New Roman" w:hAnsi="Times New Roman" w:cs="Times New Roman"/>
          <w:sz w:val="24"/>
        </w:rPr>
        <w:t xml:space="preserve">impiegabilità in sicurezza e di rispondenza ai requisiti prestazionali avente estensione temporale di </w:t>
      </w:r>
      <w:r>
        <w:rPr>
          <w:rFonts w:ascii="Times New Roman" w:eastAsia="Times New Roman" w:hAnsi="Times New Roman" w:cs="Times New Roman"/>
          <w:sz w:val="24"/>
        </w:rPr>
        <w:t>3</w:t>
      </w:r>
      <w:r w:rsidRPr="00A815B1">
        <w:rPr>
          <w:rFonts w:ascii="Times New Roman" w:eastAsia="Times New Roman" w:hAnsi="Times New Roman" w:cs="Times New Roman"/>
          <w:sz w:val="24"/>
        </w:rPr>
        <w:t xml:space="preserve"> anni dalla data di accettazione alla verifica di conformità e un periodo </w:t>
      </w:r>
      <w:r>
        <w:rPr>
          <w:rFonts w:ascii="Times New Roman" w:eastAsia="Times New Roman" w:hAnsi="Times New Roman" w:cs="Times New Roman"/>
          <w:sz w:val="24"/>
        </w:rPr>
        <w:t>di assistenza tecnica e di sostituzione dei materiali difettosi pari a 10 anni</w:t>
      </w:r>
      <w:r w:rsidRPr="00A815B1">
        <w:rPr>
          <w:rFonts w:ascii="Times New Roman" w:eastAsia="Times New Roman" w:hAnsi="Times New Roman" w:cs="Times New Roman"/>
          <w:sz w:val="24"/>
        </w:rPr>
        <w:t>.</w:t>
      </w:r>
    </w:p>
    <w:p w14:paraId="39327526" w14:textId="07EE5E92" w:rsidR="00201590" w:rsidRPr="00A815B1" w:rsidRDefault="00C75E36" w:rsidP="0065367C">
      <w:pPr>
        <w:pStyle w:val="Default"/>
        <w:spacing w:before="60"/>
        <w:ind w:left="993"/>
        <w:jc w:val="both"/>
        <w:rPr>
          <w:color w:val="auto"/>
          <w:szCs w:val="22"/>
        </w:rPr>
      </w:pPr>
      <w:r w:rsidRPr="00A815B1">
        <w:rPr>
          <w:color w:val="auto"/>
          <w:szCs w:val="22"/>
        </w:rPr>
        <w:lastRenderedPageBreak/>
        <w:t>I proiettili del munizion</w:t>
      </w:r>
      <w:r w:rsidR="00B93971">
        <w:rPr>
          <w:color w:val="auto"/>
          <w:szCs w:val="22"/>
        </w:rPr>
        <w:t>amento marcante non</w:t>
      </w:r>
      <w:r w:rsidRPr="00A815B1">
        <w:rPr>
          <w:color w:val="auto"/>
          <w:szCs w:val="22"/>
        </w:rPr>
        <w:t xml:space="preserve"> </w:t>
      </w:r>
      <w:r w:rsidR="00201590" w:rsidRPr="00A815B1">
        <w:rPr>
          <w:color w:val="auto"/>
          <w:szCs w:val="22"/>
        </w:rPr>
        <w:t>devono</w:t>
      </w:r>
      <w:r w:rsidR="00B93971">
        <w:rPr>
          <w:color w:val="auto"/>
          <w:szCs w:val="22"/>
        </w:rPr>
        <w:t xml:space="preserve"> provoca</w:t>
      </w:r>
      <w:r w:rsidRPr="00A815B1">
        <w:rPr>
          <w:color w:val="auto"/>
          <w:szCs w:val="22"/>
        </w:rPr>
        <w:t xml:space="preserve">re lesioni </w:t>
      </w:r>
      <w:r w:rsidR="00B93971">
        <w:rPr>
          <w:color w:val="auto"/>
          <w:szCs w:val="22"/>
        </w:rPr>
        <w:t xml:space="preserve">a seguito del </w:t>
      </w:r>
      <w:r w:rsidR="00B93971" w:rsidRPr="00A815B1">
        <w:rPr>
          <w:color w:val="auto"/>
          <w:szCs w:val="22"/>
        </w:rPr>
        <w:t>previsto</w:t>
      </w:r>
      <w:r w:rsidR="00B93971">
        <w:rPr>
          <w:color w:val="auto"/>
          <w:szCs w:val="22"/>
        </w:rPr>
        <w:t xml:space="preserve"> </w:t>
      </w:r>
      <w:r w:rsidR="00201590" w:rsidRPr="00A815B1">
        <w:rPr>
          <w:color w:val="auto"/>
          <w:szCs w:val="22"/>
        </w:rPr>
        <w:t xml:space="preserve">utilizzo </w:t>
      </w:r>
      <w:r w:rsidR="00201590" w:rsidRPr="00A815B1">
        <w:rPr>
          <w:i/>
          <w:color w:val="auto"/>
          <w:szCs w:val="22"/>
        </w:rPr>
        <w:t>force on force</w:t>
      </w:r>
      <w:r w:rsidR="00201590" w:rsidRPr="00A815B1">
        <w:rPr>
          <w:color w:val="auto"/>
          <w:szCs w:val="22"/>
        </w:rPr>
        <w:t xml:space="preserve"> </w:t>
      </w:r>
      <w:r w:rsidRPr="00A815B1">
        <w:rPr>
          <w:color w:val="auto"/>
          <w:szCs w:val="22"/>
        </w:rPr>
        <w:t>e consentire agli operatori di agire nella massima sicurezza.</w:t>
      </w:r>
    </w:p>
    <w:p w14:paraId="346952A3" w14:textId="01FE3DA2" w:rsidR="008C59D1" w:rsidRPr="00A815B1" w:rsidRDefault="00C75E36" w:rsidP="0065367C">
      <w:pPr>
        <w:pStyle w:val="Default"/>
        <w:spacing w:before="60"/>
        <w:ind w:left="993"/>
        <w:jc w:val="both"/>
        <w:rPr>
          <w:color w:val="auto"/>
          <w:szCs w:val="22"/>
        </w:rPr>
      </w:pPr>
      <w:r w:rsidRPr="00A815B1">
        <w:rPr>
          <w:color w:val="auto"/>
          <w:szCs w:val="22"/>
        </w:rPr>
        <w:t>Il composto marcante, contenuto in un</w:t>
      </w:r>
      <w:r w:rsidR="00D54255" w:rsidRPr="00A815B1">
        <w:rPr>
          <w:color w:val="auto"/>
          <w:szCs w:val="22"/>
        </w:rPr>
        <w:t>’</w:t>
      </w:r>
      <w:r w:rsidRPr="00A815B1">
        <w:rPr>
          <w:color w:val="auto"/>
          <w:szCs w:val="22"/>
        </w:rPr>
        <w:t>ogiva ad apertura facilit</w:t>
      </w:r>
      <w:r w:rsidR="00201590" w:rsidRPr="00A815B1">
        <w:rPr>
          <w:color w:val="auto"/>
          <w:szCs w:val="22"/>
        </w:rPr>
        <w:t>ata e prestabilita all’impatto, deve essere atossico, idrosolubile</w:t>
      </w:r>
      <w:r w:rsidRPr="00A815B1">
        <w:rPr>
          <w:color w:val="auto"/>
          <w:szCs w:val="22"/>
        </w:rPr>
        <w:t xml:space="preserve"> e facile da rimuovere. </w:t>
      </w:r>
    </w:p>
    <w:p w14:paraId="5B8CDCA9" w14:textId="77777777" w:rsidR="00201590" w:rsidRPr="00A815B1" w:rsidRDefault="00C75E36" w:rsidP="0065367C">
      <w:pPr>
        <w:pStyle w:val="Corpotesto"/>
        <w:spacing w:before="60"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sz w:val="24"/>
        </w:rPr>
        <w:t xml:space="preserve">La carica di lancio </w:t>
      </w:r>
      <w:r w:rsidR="00201590" w:rsidRPr="00A815B1">
        <w:rPr>
          <w:rFonts w:ascii="Times New Roman" w:hAnsi="Times New Roman" w:cs="Times New Roman"/>
          <w:sz w:val="24"/>
        </w:rPr>
        <w:t>deve conferire</w:t>
      </w:r>
      <w:r w:rsidRPr="00A815B1">
        <w:rPr>
          <w:rFonts w:ascii="Times New Roman" w:hAnsi="Times New Roman" w:cs="Times New Roman"/>
          <w:sz w:val="24"/>
        </w:rPr>
        <w:t xml:space="preserve"> all’arma il rinculo e la reazione allo sparo in maniera realistica, pur mantenendo bassi livelli di energia cinetica e ridotti livelli di </w:t>
      </w:r>
      <w:r w:rsidR="00D54255" w:rsidRPr="00A815B1">
        <w:rPr>
          <w:rFonts w:ascii="Times New Roman" w:hAnsi="Times New Roman" w:cs="Times New Roman"/>
          <w:sz w:val="24"/>
        </w:rPr>
        <w:t>rumorosità</w:t>
      </w:r>
      <w:r w:rsidRPr="00A815B1">
        <w:rPr>
          <w:rFonts w:ascii="Times New Roman" w:hAnsi="Times New Roman" w:cs="Times New Roman"/>
          <w:sz w:val="24"/>
        </w:rPr>
        <w:t>, consentendo l’impiego in sicurezza da una distanza minima di</w:t>
      </w:r>
      <w:r w:rsidR="00201590" w:rsidRPr="00A815B1">
        <w:rPr>
          <w:rFonts w:ascii="Times New Roman" w:hAnsi="Times New Roman" w:cs="Times New Roman"/>
          <w:sz w:val="24"/>
        </w:rPr>
        <w:t>:</w:t>
      </w:r>
    </w:p>
    <w:p w14:paraId="5593D651" w14:textId="61CEA01F" w:rsidR="00201590" w:rsidRPr="00A815B1" w:rsidRDefault="00201590" w:rsidP="0065367C">
      <w:pPr>
        <w:pStyle w:val="Corpotesto"/>
        <w:spacing w:before="60" w:after="0" w:line="240" w:lineRule="auto"/>
        <w:ind w:left="993"/>
        <w:jc w:val="both"/>
        <w:rPr>
          <w:rFonts w:ascii="Times New Roman" w:hAnsi="Times New Roman" w:cs="Times New Roman"/>
          <w:b/>
          <w:sz w:val="24"/>
        </w:rPr>
      </w:pPr>
      <w:r w:rsidRPr="00A815B1">
        <w:rPr>
          <w:rFonts w:ascii="Times New Roman" w:hAnsi="Times New Roman" w:cs="Times New Roman"/>
          <w:sz w:val="24"/>
        </w:rPr>
        <w:t>-</w:t>
      </w:r>
      <w:r w:rsidRPr="00A815B1">
        <w:rPr>
          <w:rFonts w:ascii="Times New Roman" w:hAnsi="Times New Roman" w:cs="Times New Roman"/>
          <w:sz w:val="24"/>
        </w:rPr>
        <w:tab/>
      </w:r>
      <w:r w:rsidR="002E7A42">
        <w:rPr>
          <w:rFonts w:ascii="Times New Roman" w:hAnsi="Times New Roman" w:cs="Times New Roman"/>
          <w:b/>
          <w:sz w:val="24"/>
        </w:rPr>
        <w:t>5</w:t>
      </w:r>
      <w:r w:rsidR="00C75E36" w:rsidRPr="00A815B1">
        <w:rPr>
          <w:rFonts w:ascii="Times New Roman" w:hAnsi="Times New Roman" w:cs="Times New Roman"/>
          <w:b/>
          <w:sz w:val="24"/>
        </w:rPr>
        <w:t>0 cm</w:t>
      </w:r>
      <w:r w:rsidRPr="00A815B1">
        <w:rPr>
          <w:rFonts w:ascii="Times New Roman" w:hAnsi="Times New Roman" w:cs="Times New Roman"/>
          <w:b/>
          <w:sz w:val="24"/>
        </w:rPr>
        <w:t xml:space="preserve"> </w:t>
      </w:r>
      <w:r w:rsidRPr="00A815B1">
        <w:rPr>
          <w:rFonts w:ascii="Times New Roman" w:hAnsi="Times New Roman" w:cs="Times New Roman"/>
          <w:sz w:val="24"/>
        </w:rPr>
        <w:t>per il calibro 9 mm</w:t>
      </w:r>
      <w:r w:rsidRPr="00AE3D3E">
        <w:rPr>
          <w:rFonts w:ascii="Times New Roman" w:hAnsi="Times New Roman" w:cs="Times New Roman"/>
          <w:bCs/>
          <w:sz w:val="24"/>
        </w:rPr>
        <w:t>;</w:t>
      </w:r>
    </w:p>
    <w:p w14:paraId="30124B36" w14:textId="5ADCE477" w:rsidR="00201590" w:rsidRPr="00A815B1" w:rsidRDefault="00201590" w:rsidP="0065367C">
      <w:pPr>
        <w:pStyle w:val="Corpotesto"/>
        <w:spacing w:before="60"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b/>
          <w:sz w:val="24"/>
        </w:rPr>
        <w:t>-</w:t>
      </w:r>
      <w:r w:rsidRPr="00A815B1">
        <w:rPr>
          <w:rFonts w:ascii="Times New Roman" w:hAnsi="Times New Roman" w:cs="Times New Roman"/>
          <w:b/>
          <w:sz w:val="24"/>
        </w:rPr>
        <w:tab/>
        <w:t xml:space="preserve">1 metro </w:t>
      </w:r>
      <w:r w:rsidRPr="00A815B1">
        <w:rPr>
          <w:rFonts w:ascii="Times New Roman" w:hAnsi="Times New Roman" w:cs="Times New Roman"/>
          <w:sz w:val="24"/>
        </w:rPr>
        <w:t>per il calibro 5,56 mm su piastrina;</w:t>
      </w:r>
    </w:p>
    <w:p w14:paraId="346952A4" w14:textId="28202759" w:rsidR="008C59D1" w:rsidRDefault="00201590" w:rsidP="0065367C">
      <w:pPr>
        <w:pStyle w:val="Corpotesto"/>
        <w:spacing w:before="60"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sz w:val="24"/>
        </w:rPr>
        <w:t>-</w:t>
      </w:r>
      <w:r w:rsidRPr="00A815B1">
        <w:rPr>
          <w:rFonts w:ascii="Times New Roman" w:hAnsi="Times New Roman" w:cs="Times New Roman"/>
          <w:sz w:val="24"/>
        </w:rPr>
        <w:tab/>
      </w:r>
      <w:r w:rsidR="00D24654">
        <w:rPr>
          <w:rFonts w:ascii="Times New Roman" w:hAnsi="Times New Roman" w:cs="Times New Roman"/>
          <w:b/>
          <w:sz w:val="24"/>
        </w:rPr>
        <w:t>1 metro</w:t>
      </w:r>
      <w:r w:rsidRPr="00A815B1">
        <w:rPr>
          <w:rFonts w:ascii="Times New Roman" w:hAnsi="Times New Roman" w:cs="Times New Roman"/>
          <w:b/>
          <w:sz w:val="24"/>
        </w:rPr>
        <w:t xml:space="preserve"> </w:t>
      </w:r>
      <w:r w:rsidRPr="00A815B1">
        <w:rPr>
          <w:rFonts w:ascii="Times New Roman" w:hAnsi="Times New Roman" w:cs="Times New Roman"/>
          <w:sz w:val="24"/>
        </w:rPr>
        <w:t>per il calibro 5,56 mm montato su nastro</w:t>
      </w:r>
      <w:r w:rsidR="00C75E36" w:rsidRPr="00B93971">
        <w:rPr>
          <w:rFonts w:ascii="Times New Roman" w:hAnsi="Times New Roman" w:cs="Times New Roman"/>
          <w:sz w:val="24"/>
        </w:rPr>
        <w:t xml:space="preserve">. </w:t>
      </w:r>
      <w:r w:rsidR="00C75E36" w:rsidRPr="00A815B1">
        <w:rPr>
          <w:rFonts w:ascii="Times New Roman" w:hAnsi="Times New Roman" w:cs="Times New Roman"/>
          <w:sz w:val="24"/>
        </w:rPr>
        <w:t xml:space="preserve"> </w:t>
      </w:r>
    </w:p>
    <w:p w14:paraId="5EAEC8F9" w14:textId="77777777" w:rsidR="00B93971" w:rsidRDefault="00B93971" w:rsidP="00A815B1">
      <w:pPr>
        <w:pStyle w:val="Corpotesto"/>
        <w:spacing w:before="60"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14:paraId="22F5F6BA" w14:textId="79C2ADEB" w:rsidR="0069304A" w:rsidRPr="0065367C" w:rsidRDefault="0065367C" w:rsidP="0065367C">
      <w:pPr>
        <w:pStyle w:val="Paragrafoelenco"/>
        <w:numPr>
          <w:ilvl w:val="1"/>
          <w:numId w:val="15"/>
        </w:numPr>
        <w:suppressAutoHyphens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5367C">
        <w:rPr>
          <w:rFonts w:ascii="Times New Roman" w:hAnsi="Times New Roman" w:cs="Times New Roman"/>
          <w:sz w:val="24"/>
          <w:szCs w:val="24"/>
        </w:rPr>
        <w:t>aratteristiche e prestazioni kit di conversion</w:t>
      </w:r>
      <w:r w:rsidR="007D674A">
        <w:rPr>
          <w:rFonts w:ascii="Times New Roman" w:hAnsi="Times New Roman" w:cs="Times New Roman"/>
          <w:sz w:val="24"/>
          <w:szCs w:val="24"/>
        </w:rPr>
        <w:t>e</w:t>
      </w:r>
    </w:p>
    <w:p w14:paraId="62733A26" w14:textId="77777777" w:rsidR="007D674A" w:rsidRDefault="007D674A" w:rsidP="007D674A">
      <w:pPr>
        <w:spacing w:before="60"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</w:rPr>
      </w:pPr>
      <w:r w:rsidRPr="0069304A">
        <w:rPr>
          <w:rFonts w:ascii="Times New Roman" w:eastAsia="Times New Roman" w:hAnsi="Times New Roman" w:cs="Times New Roman"/>
          <w:sz w:val="24"/>
        </w:rPr>
        <w:t xml:space="preserve">I </w:t>
      </w:r>
      <w:r w:rsidRPr="0069304A">
        <w:rPr>
          <w:rFonts w:ascii="Times New Roman" w:eastAsia="Times New Roman" w:hAnsi="Times New Roman" w:cs="Times New Roman"/>
          <w:b/>
          <w:sz w:val="24"/>
        </w:rPr>
        <w:t>kit di conversione</w:t>
      </w:r>
      <w:r w:rsidRPr="0069304A">
        <w:rPr>
          <w:rFonts w:ascii="Times New Roman" w:eastAsia="Times New Roman" w:hAnsi="Times New Roman" w:cs="Times New Roman"/>
          <w:sz w:val="24"/>
        </w:rPr>
        <w:t xml:space="preserve"> </w:t>
      </w:r>
      <w:r w:rsidRPr="00A815B1">
        <w:rPr>
          <w:rFonts w:ascii="Times New Roman" w:hAnsi="Times New Roman" w:cs="Times New Roman"/>
          <w:color w:val="000000"/>
          <w:sz w:val="24"/>
        </w:rPr>
        <w:t xml:space="preserve">in fornitura </w:t>
      </w:r>
      <w:r w:rsidRPr="0069304A">
        <w:rPr>
          <w:rFonts w:ascii="Times New Roman" w:hAnsi="Times New Roman" w:cs="Times New Roman"/>
          <w:color w:val="000000"/>
          <w:sz w:val="24"/>
        </w:rPr>
        <w:t xml:space="preserve">dovranno essere </w:t>
      </w:r>
    </w:p>
    <w:p w14:paraId="798AA283" w14:textId="77777777" w:rsidR="007D674A" w:rsidRPr="00D24654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/>
        <w:jc w:val="both"/>
        <w:rPr>
          <w:rFonts w:ascii="Times New Roman" w:hAnsi="Times New Roman" w:cs="Times New Roman"/>
          <w:color w:val="000000"/>
          <w:sz w:val="24"/>
        </w:rPr>
      </w:pPr>
      <w:r w:rsidRPr="00D24654">
        <w:rPr>
          <w:rFonts w:ascii="Times New Roman" w:hAnsi="Times New Roman" w:cs="Times New Roman"/>
          <w:color w:val="000000"/>
          <w:sz w:val="24"/>
        </w:rPr>
        <w:t>compatibili con le armi in ciclo logistico:</w:t>
      </w:r>
    </w:p>
    <w:p w14:paraId="56896C35" w14:textId="77777777" w:rsidR="007D674A" w:rsidRPr="00D24654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/>
        <w:contextualSpacing w:val="0"/>
        <w:jc w:val="both"/>
        <w:rPr>
          <w:rFonts w:ascii="Times New Roman" w:hAnsi="Times New Roman" w:cs="Times New Roman"/>
          <w:color w:val="000000"/>
          <w:sz w:val="24"/>
        </w:rPr>
      </w:pPr>
      <w:r w:rsidRPr="0069304A">
        <w:rPr>
          <w:rFonts w:ascii="Times New Roman" w:hAnsi="Times New Roman" w:cs="Times New Roman"/>
          <w:color w:val="000000"/>
          <w:sz w:val="24"/>
        </w:rPr>
        <w:t>pistola Beretta 92FS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14:paraId="71090764" w14:textId="6E690193" w:rsidR="007D674A" w:rsidRPr="00D24654" w:rsidRDefault="007D674A" w:rsidP="007D674A">
      <w:pPr>
        <w:pStyle w:val="Paragrafoelenco"/>
        <w:numPr>
          <w:ilvl w:val="2"/>
          <w:numId w:val="4"/>
        </w:numPr>
        <w:spacing w:before="60" w:after="0" w:line="240" w:lineRule="auto"/>
        <w:ind w:left="1985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HK MP5</w:t>
      </w:r>
      <w:r w:rsidR="00712D10">
        <w:rPr>
          <w:rFonts w:ascii="Times New Roman" w:hAnsi="Times New Roman" w:cs="Times New Roman"/>
          <w:color w:val="000000"/>
          <w:sz w:val="24"/>
        </w:rPr>
        <w:t xml:space="preserve"> A5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14:paraId="026D74E1" w14:textId="77777777" w:rsidR="007D674A" w:rsidRPr="00A815B1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/>
        <w:contextualSpacing w:val="0"/>
        <w:jc w:val="both"/>
        <w:rPr>
          <w:rFonts w:ascii="Times New Roman" w:eastAsia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 xml:space="preserve">corredate da </w:t>
      </w:r>
      <w:r w:rsidRPr="00A815B1">
        <w:rPr>
          <w:rFonts w:ascii="Times New Roman" w:hAnsi="Times New Roman" w:cs="Times New Roman"/>
          <w:sz w:val="24"/>
        </w:rPr>
        <w:t xml:space="preserve">manuale di istruzione per l’uso e la manutenzione in lingua italiana redatto in </w:t>
      </w:r>
      <w:r w:rsidRPr="00A815B1">
        <w:rPr>
          <w:rFonts w:ascii="Times New Roman" w:eastAsia="Times New Roman" w:hAnsi="Times New Roman" w:cs="Times New Roman"/>
          <w:sz w:val="24"/>
        </w:rPr>
        <w:t>aderenza alla pubblicazione TER.O-0P-00-PUBBLICAZIONI-001-B000</w:t>
      </w:r>
      <w:r>
        <w:rPr>
          <w:rFonts w:ascii="Times New Roman" w:eastAsia="Times New Roman" w:hAnsi="Times New Roman" w:cs="Times New Roman"/>
          <w:sz w:val="24"/>
        </w:rPr>
        <w:t xml:space="preserve"> e specifiche tecniche del costruttore</w:t>
      </w:r>
      <w:r w:rsidRPr="00A815B1">
        <w:rPr>
          <w:rFonts w:ascii="Times New Roman" w:hAnsi="Times New Roman" w:cs="Times New Roman"/>
          <w:sz w:val="24"/>
        </w:rPr>
        <w:t>;</w:t>
      </w:r>
    </w:p>
    <w:p w14:paraId="3C297E6E" w14:textId="77777777" w:rsidR="007D674A" w:rsidRPr="00D24654" w:rsidRDefault="007D674A" w:rsidP="007D674A">
      <w:pPr>
        <w:pStyle w:val="Paragrafoelenco"/>
        <w:numPr>
          <w:ilvl w:val="0"/>
          <w:numId w:val="4"/>
        </w:numPr>
        <w:spacing w:before="60" w:after="0" w:line="240" w:lineRule="auto"/>
        <w:ind w:left="1560"/>
        <w:contextualSpacing w:val="0"/>
        <w:jc w:val="both"/>
        <w:rPr>
          <w:rFonts w:ascii="Times New Roman" w:eastAsia="Times New Roman" w:hAnsi="Times New Roman" w:cs="Times New Roman"/>
          <w:sz w:val="24"/>
        </w:rPr>
      </w:pPr>
      <w:r w:rsidRPr="00A815B1">
        <w:rPr>
          <w:rFonts w:ascii="Times New Roman" w:hAnsi="Times New Roman" w:cs="Times New Roman"/>
          <w:color w:val="000000"/>
          <w:sz w:val="24"/>
        </w:rPr>
        <w:t>coperte da garanzia per l’</w:t>
      </w:r>
      <w:r w:rsidRPr="00A815B1">
        <w:rPr>
          <w:rFonts w:ascii="Times New Roman" w:eastAsia="Times New Roman" w:hAnsi="Times New Roman" w:cs="Times New Roman"/>
          <w:sz w:val="24"/>
        </w:rPr>
        <w:t xml:space="preserve">impiegabilità in sicurezza e di rispondenza ai requisiti prestazionali avente estensione temporale di </w:t>
      </w:r>
      <w:r>
        <w:rPr>
          <w:rFonts w:ascii="Times New Roman" w:eastAsia="Times New Roman" w:hAnsi="Times New Roman" w:cs="Times New Roman"/>
          <w:sz w:val="24"/>
        </w:rPr>
        <w:t>3</w:t>
      </w:r>
      <w:r w:rsidRPr="00A815B1">
        <w:rPr>
          <w:rFonts w:ascii="Times New Roman" w:eastAsia="Times New Roman" w:hAnsi="Times New Roman" w:cs="Times New Roman"/>
          <w:sz w:val="24"/>
        </w:rPr>
        <w:t xml:space="preserve"> anni dalla data di accettazione alla verifica di conformità e un periodo </w:t>
      </w:r>
      <w:r>
        <w:rPr>
          <w:rFonts w:ascii="Times New Roman" w:eastAsia="Times New Roman" w:hAnsi="Times New Roman" w:cs="Times New Roman"/>
          <w:sz w:val="24"/>
        </w:rPr>
        <w:t>di assistenza tecnica e di sostituzione dei materiali difettosi pari a 10 anni</w:t>
      </w:r>
      <w:r w:rsidRPr="00A815B1">
        <w:rPr>
          <w:rFonts w:ascii="Times New Roman" w:eastAsia="Times New Roman" w:hAnsi="Times New Roman" w:cs="Times New Roman"/>
          <w:sz w:val="24"/>
        </w:rPr>
        <w:t>.</w:t>
      </w:r>
    </w:p>
    <w:p w14:paraId="29A7BC77" w14:textId="34CDB658" w:rsidR="0069304A" w:rsidRPr="0069304A" w:rsidRDefault="0069304A" w:rsidP="0065367C">
      <w:pPr>
        <w:pStyle w:val="Corpotesto"/>
        <w:spacing w:before="60"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  <w:r w:rsidRPr="0069304A">
        <w:rPr>
          <w:rFonts w:ascii="Times New Roman" w:hAnsi="Times New Roman" w:cs="Times New Roman"/>
          <w:sz w:val="24"/>
        </w:rPr>
        <w:t>I kit di conversion</w:t>
      </w:r>
      <w:r w:rsidR="001A3EBF">
        <w:rPr>
          <w:rFonts w:ascii="Times New Roman" w:hAnsi="Times New Roman" w:cs="Times New Roman"/>
          <w:sz w:val="24"/>
        </w:rPr>
        <w:t>e per le armi citate al punto 1.</w:t>
      </w:r>
      <w:r w:rsidRPr="0069304A">
        <w:rPr>
          <w:rFonts w:ascii="Times New Roman" w:hAnsi="Times New Roman" w:cs="Times New Roman"/>
          <w:sz w:val="24"/>
        </w:rPr>
        <w:t xml:space="preserve"> non </w:t>
      </w:r>
      <w:r w:rsidR="008F4144">
        <w:rPr>
          <w:rFonts w:ascii="Times New Roman" w:hAnsi="Times New Roman" w:cs="Times New Roman"/>
          <w:sz w:val="24"/>
        </w:rPr>
        <w:t>dovranno rendere possibile lo sparo</w:t>
      </w:r>
      <w:r>
        <w:rPr>
          <w:rFonts w:ascii="Times New Roman" w:hAnsi="Times New Roman" w:cs="Times New Roman"/>
          <w:sz w:val="24"/>
        </w:rPr>
        <w:t xml:space="preserve"> di munizioni ordinarie per evitare possibili incidenti.</w:t>
      </w:r>
    </w:p>
    <w:p w14:paraId="346952A5" w14:textId="77777777" w:rsidR="008C59D1" w:rsidRDefault="008C59D1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</w:rPr>
      </w:pPr>
    </w:p>
    <w:p w14:paraId="606FED8F" w14:textId="187C6FC1" w:rsidR="007D674A" w:rsidRDefault="007D674A" w:rsidP="007D674A">
      <w:pPr>
        <w:pStyle w:val="Paragrafoelenco"/>
        <w:numPr>
          <w:ilvl w:val="1"/>
          <w:numId w:val="15"/>
        </w:numPr>
        <w:suppressAutoHyphens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5367C">
        <w:rPr>
          <w:rFonts w:ascii="Times New Roman" w:hAnsi="Times New Roman" w:cs="Times New Roman"/>
          <w:sz w:val="24"/>
          <w:szCs w:val="24"/>
        </w:rPr>
        <w:t xml:space="preserve">aratteristiche </w:t>
      </w:r>
      <w:r>
        <w:rPr>
          <w:rFonts w:ascii="Times New Roman" w:hAnsi="Times New Roman" w:cs="Times New Roman"/>
          <w:sz w:val="24"/>
          <w:szCs w:val="24"/>
        </w:rPr>
        <w:t>imballaggi</w:t>
      </w:r>
    </w:p>
    <w:p w14:paraId="19499EB6" w14:textId="7783DD97" w:rsidR="007D674A" w:rsidRPr="007D674A" w:rsidRDefault="007D674A" w:rsidP="007D674A">
      <w:pPr>
        <w:pStyle w:val="Paragrafoelenco"/>
        <w:suppressAutoHyphens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674A">
        <w:rPr>
          <w:rFonts w:ascii="Times New Roman" w:hAnsi="Times New Roman" w:cs="Times New Roman"/>
          <w:sz w:val="24"/>
          <w:szCs w:val="24"/>
        </w:rPr>
        <w:t>Gli imballaggi dovranno essere omologati dalle Autorità Nazionali competenti sulla base delle vigenti leggi in materia di “trasporto e stoccaggio di munizioni ed esplosivi” in conformità alle vigenti normative che regolano il trasporto di merci pericolose su ferrovia (RID), strada (ADR), in mare (IMO) e via aerea (ICAO) e  conformi allo STANAG 2828 Ed. 8 e APP-22 Ed. B;</w:t>
      </w:r>
    </w:p>
    <w:p w14:paraId="3C72BAFE" w14:textId="385A7D7D" w:rsidR="007D674A" w:rsidRPr="007D674A" w:rsidRDefault="007D674A" w:rsidP="007D674A">
      <w:pPr>
        <w:pStyle w:val="Paragrafoelenco"/>
        <w:suppressAutoHyphens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674A">
        <w:rPr>
          <w:rFonts w:ascii="Times New Roman" w:hAnsi="Times New Roman" w:cs="Times New Roman"/>
          <w:sz w:val="24"/>
          <w:szCs w:val="24"/>
        </w:rPr>
        <w:t>per le marcature, simbologie e criteri identificativi dei colpi completi e degli imballaggi, è richiesta la conformità allo STANAG 2953 ed AOP-2 associata, nella loro ultima versione pubblicata.</w:t>
      </w:r>
    </w:p>
    <w:p w14:paraId="33F8876B" w14:textId="77777777" w:rsidR="007D674A" w:rsidRDefault="007D674A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</w:rPr>
      </w:pPr>
    </w:p>
    <w:p w14:paraId="58205CC6" w14:textId="77777777" w:rsidR="007D674A" w:rsidRPr="007D674A" w:rsidRDefault="007D674A" w:rsidP="007D674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567" w:hanging="428"/>
        <w:jc w:val="both"/>
        <w:rPr>
          <w:rFonts w:ascii="Times New Roman" w:hAnsi="Times New Roman" w:cs="Times New Roman"/>
          <w:b/>
          <w:bCs/>
          <w:sz w:val="24"/>
        </w:rPr>
      </w:pPr>
      <w:r w:rsidRPr="007D674A">
        <w:rPr>
          <w:rFonts w:ascii="Times New Roman" w:hAnsi="Times New Roman" w:cs="Times New Roman"/>
          <w:b/>
          <w:bCs/>
          <w:sz w:val="24"/>
        </w:rPr>
        <w:t>CERTIFICAZIONE</w:t>
      </w:r>
    </w:p>
    <w:p w14:paraId="6C93FB22" w14:textId="77777777" w:rsidR="007D674A" w:rsidRPr="007D674A" w:rsidRDefault="007D674A" w:rsidP="007D674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D674A">
        <w:rPr>
          <w:rFonts w:ascii="Times New Roman" w:hAnsi="Times New Roman" w:cs="Times New Roman"/>
          <w:sz w:val="24"/>
          <w:szCs w:val="24"/>
        </w:rPr>
        <w:t>In accordo alla direttiva TER-G-026/interim, la DAT emetterà una certificazione sulla base:</w:t>
      </w:r>
    </w:p>
    <w:p w14:paraId="04163F8A" w14:textId="77777777" w:rsidR="007D674A" w:rsidRPr="007D674A" w:rsidRDefault="007D674A" w:rsidP="007D674A">
      <w:pPr>
        <w:pStyle w:val="Paragrafoelenco"/>
        <w:numPr>
          <w:ilvl w:val="0"/>
          <w:numId w:val="19"/>
        </w:numPr>
        <w:suppressAutoHyphens w:val="0"/>
        <w:spacing w:after="0" w:line="259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674A">
        <w:rPr>
          <w:rFonts w:ascii="Times New Roman" w:hAnsi="Times New Roman" w:cs="Times New Roman"/>
          <w:sz w:val="24"/>
          <w:szCs w:val="24"/>
        </w:rPr>
        <w:t>della specifica tecnica della munizione emessa dalla Design Authority;</w:t>
      </w:r>
    </w:p>
    <w:p w14:paraId="0FAA4F11" w14:textId="0FDC1791" w:rsidR="007D674A" w:rsidRPr="007D674A" w:rsidRDefault="007D674A" w:rsidP="007D674A">
      <w:pPr>
        <w:pStyle w:val="Paragrafoelenco"/>
        <w:numPr>
          <w:ilvl w:val="0"/>
          <w:numId w:val="19"/>
        </w:numPr>
        <w:suppressAutoHyphens w:val="0"/>
        <w:spacing w:after="0" w:line="259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D674A">
        <w:rPr>
          <w:rFonts w:ascii="Times New Roman" w:hAnsi="Times New Roman" w:cs="Times New Roman"/>
          <w:sz w:val="24"/>
          <w:szCs w:val="24"/>
        </w:rPr>
        <w:t>matrice di rispondenza tra ciascuna caratteristica riportata nella specifica tecnica ed</w:t>
      </w:r>
      <w:r>
        <w:rPr>
          <w:rFonts w:ascii="Times New Roman" w:hAnsi="Times New Roman" w:cs="Times New Roman"/>
          <w:sz w:val="24"/>
          <w:szCs w:val="24"/>
        </w:rPr>
        <w:t xml:space="preserve"> il relativo report di comprova</w:t>
      </w:r>
      <w:r w:rsidRPr="007D674A">
        <w:rPr>
          <w:rFonts w:ascii="Times New Roman" w:hAnsi="Times New Roman" w:cs="Times New Roman"/>
          <w:sz w:val="24"/>
          <w:szCs w:val="24"/>
        </w:rPr>
        <w:t>.</w:t>
      </w:r>
    </w:p>
    <w:p w14:paraId="0119DC2D" w14:textId="77777777" w:rsidR="007D674A" w:rsidRDefault="007D674A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</w:rPr>
      </w:pPr>
    </w:p>
    <w:p w14:paraId="56DEF882" w14:textId="2FF2897C" w:rsidR="00B9259F" w:rsidRPr="007D674A" w:rsidRDefault="007D674A" w:rsidP="007D674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567" w:hanging="428"/>
        <w:jc w:val="both"/>
        <w:rPr>
          <w:rFonts w:ascii="Times New Roman" w:hAnsi="Times New Roman" w:cs="Times New Roman"/>
          <w:b/>
          <w:bCs/>
          <w:sz w:val="24"/>
        </w:rPr>
      </w:pPr>
      <w:r w:rsidRPr="007D674A">
        <w:rPr>
          <w:rFonts w:ascii="Times New Roman" w:hAnsi="Times New Roman" w:cs="Times New Roman"/>
          <w:b/>
          <w:bCs/>
          <w:sz w:val="24"/>
        </w:rPr>
        <w:t>NORME PER LA VERIFICA DI CONFOMITÀ</w:t>
      </w:r>
      <w:r w:rsidR="00EF69D6">
        <w:rPr>
          <w:rFonts w:ascii="Times New Roman" w:hAnsi="Times New Roman" w:cs="Times New Roman"/>
          <w:b/>
          <w:bCs/>
          <w:sz w:val="24"/>
        </w:rPr>
        <w:t xml:space="preserve"> MUNIZIONAMENTO</w:t>
      </w:r>
    </w:p>
    <w:p w14:paraId="0112AE4B" w14:textId="76E5BE7F" w:rsidR="00C24F82" w:rsidRPr="00B93971" w:rsidRDefault="00C24F82" w:rsidP="00EF69D6">
      <w:pPr>
        <w:pStyle w:val="Default"/>
        <w:spacing w:before="60"/>
        <w:ind w:left="567"/>
        <w:jc w:val="both"/>
        <w:rPr>
          <w:rFonts w:eastAsia="Times New Roman"/>
          <w:color w:val="auto"/>
        </w:rPr>
      </w:pPr>
      <w:r w:rsidRPr="00B93971">
        <w:rPr>
          <w:rFonts w:eastAsia="Times New Roman"/>
          <w:color w:val="auto"/>
        </w:rPr>
        <w:t>Le seguenti prove di collaudo saranno la base per la qualificazione del munizionamento.</w:t>
      </w:r>
    </w:p>
    <w:p w14:paraId="649DE75D" w14:textId="44B53602" w:rsidR="00B9259F" w:rsidRPr="00B93971" w:rsidRDefault="00B9259F" w:rsidP="00EF69D6">
      <w:pPr>
        <w:pStyle w:val="Default"/>
        <w:spacing w:before="60"/>
        <w:ind w:left="567"/>
        <w:jc w:val="both"/>
        <w:rPr>
          <w:rFonts w:eastAsia="Times New Roman"/>
          <w:color w:val="auto"/>
        </w:rPr>
      </w:pPr>
      <w:r w:rsidRPr="00B93971">
        <w:rPr>
          <w:rFonts w:eastAsia="Times New Roman"/>
          <w:color w:val="auto"/>
        </w:rPr>
        <w:t xml:space="preserve">Ogni lotto di cartucce, caricato con un unico lotto di propellente e di innesco ed allestito con materie prime provenienti da un’unica partita, </w:t>
      </w:r>
      <w:r w:rsidR="007B26F6" w:rsidRPr="00B93971">
        <w:rPr>
          <w:rFonts w:eastAsia="Times New Roman"/>
          <w:color w:val="auto"/>
        </w:rPr>
        <w:t>verrà presentato</w:t>
      </w:r>
      <w:r w:rsidRPr="00B93971">
        <w:rPr>
          <w:rFonts w:eastAsia="Times New Roman"/>
          <w:color w:val="auto"/>
        </w:rPr>
        <w:t xml:space="preserve"> al collaudo nella quantità, per </w:t>
      </w:r>
      <w:r w:rsidR="007B26F6" w:rsidRPr="00B93971">
        <w:rPr>
          <w:rFonts w:eastAsia="Times New Roman"/>
          <w:color w:val="auto"/>
        </w:rPr>
        <w:t xml:space="preserve">ciascun lotto, non superiore a </w:t>
      </w:r>
      <w:r w:rsidRPr="00B93971">
        <w:rPr>
          <w:rFonts w:eastAsia="Times New Roman"/>
          <w:color w:val="auto"/>
        </w:rPr>
        <w:t>400.000 cartucce</w:t>
      </w:r>
      <w:r w:rsidR="007B26F6" w:rsidRPr="00B93971">
        <w:rPr>
          <w:rFonts w:eastAsia="Times New Roman"/>
          <w:color w:val="auto"/>
        </w:rPr>
        <w:t xml:space="preserve">. </w:t>
      </w:r>
    </w:p>
    <w:p w14:paraId="1DA8EA6F" w14:textId="016BD3A4" w:rsidR="00B9259F" w:rsidRPr="00A815B1" w:rsidRDefault="007B26F6" w:rsidP="00EF69D6">
      <w:pPr>
        <w:pStyle w:val="Default"/>
        <w:spacing w:before="60"/>
        <w:ind w:left="567"/>
        <w:jc w:val="both"/>
      </w:pPr>
      <w:r w:rsidRPr="00A815B1">
        <w:rPr>
          <w:color w:val="auto"/>
        </w:rPr>
        <w:lastRenderedPageBreak/>
        <w:t>Ogni lotto</w:t>
      </w:r>
      <w:r w:rsidR="00B9259F" w:rsidRPr="00A815B1">
        <w:t xml:space="preserve"> sarà accettato in seguito ad esito favorevole delle prove riportate </w:t>
      </w:r>
      <w:r w:rsidRPr="00A815B1">
        <w:t>di seguito</w:t>
      </w:r>
      <w:r w:rsidR="00B9259F" w:rsidRPr="00A815B1">
        <w:t>. In caso di esito non favorevole, la Ditta potrà ripresentare al collaudo il lotto rifiutato, dopo aver eliminato a sue spese i difetti relativi con modalità definite sulla base di una indagine tecnica con eventuale partecipazione di rappresentanti della Amministrazione Difesa, con lo scopo di accertare la validità dei procedimenti correttivi</w:t>
      </w:r>
      <w:r w:rsidRPr="00A815B1">
        <w:t>.</w:t>
      </w:r>
    </w:p>
    <w:p w14:paraId="698DB7CA" w14:textId="299B99AF" w:rsidR="007B26F6" w:rsidRPr="007D674A" w:rsidRDefault="007D674A" w:rsidP="007D674A">
      <w:pPr>
        <w:numPr>
          <w:ilvl w:val="1"/>
          <w:numId w:val="21"/>
        </w:numPr>
        <w:tabs>
          <w:tab w:val="left" w:pos="284"/>
        </w:tabs>
        <w:spacing w:before="120" w:after="0" w:line="240" w:lineRule="auto"/>
        <w:ind w:left="1134"/>
        <w:jc w:val="both"/>
        <w:rPr>
          <w:bCs/>
          <w:sz w:val="24"/>
        </w:rPr>
      </w:pPr>
      <w:r w:rsidRPr="007D674A">
        <w:rPr>
          <w:rFonts w:ascii="Times New Roman" w:hAnsi="Times New Roman" w:cs="Times New Roman"/>
          <w:bCs/>
          <w:sz w:val="24"/>
        </w:rPr>
        <w:t>Controllo visivo e dimensionale</w:t>
      </w:r>
    </w:p>
    <w:p w14:paraId="5D8D8EBE" w14:textId="1421D398" w:rsidR="00B8474F" w:rsidRDefault="00B8474F" w:rsidP="007C236B">
      <w:pPr>
        <w:pStyle w:val="Testodelblocco"/>
        <w:spacing w:after="120"/>
        <w:ind w:left="1134" w:firstLine="0"/>
      </w:pPr>
      <w:r>
        <w:t>L’entità della campionatura da sottoporre al collaudo, in relazione all’entità dei lotti di produzione e i valori minimi di accettazione e di rifiuto, sono riporta</w:t>
      </w:r>
      <w:r w:rsidR="007C236B">
        <w:t>ti nella specifica UNI ISO 2859-</w:t>
      </w:r>
      <w:r>
        <w:t>1. Si adotteranno:</w:t>
      </w:r>
    </w:p>
    <w:p w14:paraId="1AA9FEE5" w14:textId="75E27303" w:rsidR="00B8474F" w:rsidRDefault="00B8474F" w:rsidP="00B8474F">
      <w:pPr>
        <w:pStyle w:val="Testodelblocco"/>
        <w:numPr>
          <w:ilvl w:val="0"/>
          <w:numId w:val="10"/>
        </w:numPr>
        <w:tabs>
          <w:tab w:val="left" w:pos="540"/>
        </w:tabs>
        <w:ind w:left="1418" w:hanging="284"/>
      </w:pPr>
      <w:r>
        <w:t>livello di ispezione generale</w:t>
      </w:r>
      <w:r w:rsidR="00C7339C">
        <w:t>:</w:t>
      </w:r>
      <w:r>
        <w:t xml:space="preserve"> </w:t>
      </w:r>
      <w:r w:rsidRPr="00D1253E">
        <w:rPr>
          <w:b/>
        </w:rPr>
        <w:t>I</w:t>
      </w:r>
      <w:r w:rsidR="00C7339C">
        <w:rPr>
          <w:b/>
        </w:rPr>
        <w:t>I</w:t>
      </w:r>
      <w:r w:rsidRPr="00947032">
        <w:t>;</w:t>
      </w:r>
    </w:p>
    <w:p w14:paraId="06A46053" w14:textId="0B6337AA" w:rsidR="00B8474F" w:rsidRPr="00D1253E" w:rsidRDefault="00B8474F" w:rsidP="00B8474F">
      <w:pPr>
        <w:pStyle w:val="Testodelblocco"/>
        <w:numPr>
          <w:ilvl w:val="0"/>
          <w:numId w:val="10"/>
        </w:numPr>
        <w:tabs>
          <w:tab w:val="left" w:pos="540"/>
        </w:tabs>
        <w:ind w:left="1418" w:hanging="284"/>
        <w:rPr>
          <w:b/>
        </w:rPr>
      </w:pPr>
      <w:r>
        <w:t>piano di campionatura</w:t>
      </w:r>
      <w:r w:rsidR="00C7339C">
        <w:t>:</w:t>
      </w:r>
      <w:r>
        <w:t xml:space="preserve"> </w:t>
      </w:r>
      <w:r w:rsidRPr="00D1253E">
        <w:rPr>
          <w:b/>
        </w:rPr>
        <w:t>semplice</w:t>
      </w:r>
      <w:r>
        <w:t>;</w:t>
      </w:r>
    </w:p>
    <w:p w14:paraId="44AA545A" w14:textId="13D2E205" w:rsidR="00C7339C" w:rsidRDefault="00B8474F" w:rsidP="00C7339C">
      <w:pPr>
        <w:pStyle w:val="Testodelblocco"/>
        <w:numPr>
          <w:ilvl w:val="0"/>
          <w:numId w:val="10"/>
        </w:numPr>
        <w:tabs>
          <w:tab w:val="clear" w:pos="1494"/>
          <w:tab w:val="left" w:pos="540"/>
        </w:tabs>
        <w:ind w:left="1418" w:hanging="284"/>
      </w:pPr>
      <w:r w:rsidRPr="00947032">
        <w:rPr>
          <w:b/>
        </w:rPr>
        <w:t xml:space="preserve">AQL </w:t>
      </w:r>
      <w:r w:rsidR="00C7339C">
        <w:rPr>
          <w:b/>
        </w:rPr>
        <w:t>(critici / maggiori / minori)</w:t>
      </w:r>
      <w:r w:rsidR="00C7339C" w:rsidRPr="00C7339C">
        <w:t>:</w:t>
      </w:r>
      <w:r w:rsidRPr="00947032">
        <w:rPr>
          <w:b/>
        </w:rPr>
        <w:t xml:space="preserve"> </w:t>
      </w:r>
      <w:r w:rsidR="00C7339C">
        <w:rPr>
          <w:b/>
        </w:rPr>
        <w:t>0,15 / 0,65 / 1,5</w:t>
      </w:r>
      <w:r w:rsidR="00C7339C">
        <w:t xml:space="preserve">; </w:t>
      </w:r>
    </w:p>
    <w:p w14:paraId="6205F689" w14:textId="0A082790" w:rsidR="00B8474F" w:rsidRDefault="00C7339C" w:rsidP="00C7339C">
      <w:pPr>
        <w:pStyle w:val="Testodelblocco"/>
        <w:numPr>
          <w:ilvl w:val="0"/>
          <w:numId w:val="10"/>
        </w:numPr>
        <w:tabs>
          <w:tab w:val="clear" w:pos="1494"/>
          <w:tab w:val="left" w:pos="540"/>
        </w:tabs>
        <w:ind w:left="1418" w:hanging="284"/>
      </w:pPr>
      <w:r>
        <w:t>ispezioni dei lotti successivi al primo (ove applicabile) con possibilità di commutazione nei piani di campionamento come prescritto dalla norma UNI ISO 2859.</w:t>
      </w:r>
    </w:p>
    <w:p w14:paraId="6AC1C27B" w14:textId="716AE3DE" w:rsidR="007B26F6" w:rsidRDefault="007B26F6" w:rsidP="00675120">
      <w:pPr>
        <w:pStyle w:val="Paragrafoelenco"/>
        <w:spacing w:line="240" w:lineRule="auto"/>
        <w:ind w:left="1134" w:right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6F6">
        <w:rPr>
          <w:rFonts w:ascii="Times New Roman" w:eastAsia="Times New Roman" w:hAnsi="Times New Roman" w:cs="Times New Roman"/>
          <w:sz w:val="24"/>
          <w:szCs w:val="24"/>
        </w:rPr>
        <w:t xml:space="preserve">I difetti da considerare per il controllo visivo, dimensionale e di peso e la classificazione di ciascuno di essi, in particolare quelli critici e maggiori, sono quelli elencati nel Volume 6 – </w:t>
      </w:r>
      <w:proofErr w:type="spellStart"/>
      <w:r w:rsidRPr="007B26F6">
        <w:rPr>
          <w:rFonts w:ascii="Times New Roman" w:eastAsia="Times New Roman" w:hAnsi="Times New Roman" w:cs="Times New Roman"/>
          <w:sz w:val="24"/>
          <w:szCs w:val="24"/>
        </w:rPr>
        <w:t>Annex</w:t>
      </w:r>
      <w:proofErr w:type="spellEnd"/>
      <w:r w:rsidRPr="007B26F6">
        <w:rPr>
          <w:rFonts w:ascii="Times New Roman" w:eastAsia="Times New Roman" w:hAnsi="Times New Roman" w:cs="Times New Roman"/>
          <w:sz w:val="24"/>
          <w:szCs w:val="24"/>
        </w:rPr>
        <w:t xml:space="preserve"> C, Manuale NATO AEP-97 Edition A Version 1 MULTI-CALIBRE MOPI FOR NATO SMALL ARMS AMMUNITION, per quanto applicabile. I difetti non espressamente previsti, saranno valutati caso per caso in funzione della loro entità e consistenza.</w:t>
      </w:r>
    </w:p>
    <w:p w14:paraId="47EBB647" w14:textId="1CCC973D" w:rsidR="007B26F6" w:rsidRPr="00EF69D6" w:rsidRDefault="007D674A" w:rsidP="007D674A">
      <w:pPr>
        <w:numPr>
          <w:ilvl w:val="1"/>
          <w:numId w:val="21"/>
        </w:numPr>
        <w:tabs>
          <w:tab w:val="left" w:pos="28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bCs/>
          <w:sz w:val="24"/>
        </w:rPr>
      </w:pPr>
      <w:r w:rsidRPr="00EF69D6">
        <w:rPr>
          <w:rFonts w:ascii="Times New Roman" w:hAnsi="Times New Roman" w:cs="Times New Roman"/>
          <w:bCs/>
          <w:sz w:val="24"/>
        </w:rPr>
        <w:t>Prove balistiche</w:t>
      </w:r>
    </w:p>
    <w:p w14:paraId="60DE9110" w14:textId="34CC7777" w:rsidR="005F344B" w:rsidRDefault="007B26F6" w:rsidP="00C5454B">
      <w:pPr>
        <w:tabs>
          <w:tab w:val="left" w:pos="28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6F6">
        <w:rPr>
          <w:rFonts w:ascii="Times New Roman" w:eastAsia="Times New Roman" w:hAnsi="Times New Roman" w:cs="Times New Roman"/>
          <w:sz w:val="24"/>
          <w:szCs w:val="24"/>
        </w:rPr>
        <w:t>Dovranno essere effettuate delle prove per alle temperature di –8°C, +21°C e +40°C</w:t>
      </w:r>
      <w:r w:rsidR="005F344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Grigliatabella"/>
        <w:tblW w:w="8500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1555"/>
        <w:gridCol w:w="1123"/>
        <w:gridCol w:w="994"/>
        <w:gridCol w:w="994"/>
        <w:gridCol w:w="1936"/>
        <w:gridCol w:w="1898"/>
      </w:tblGrid>
      <w:tr w:rsidR="00B8474F" w14:paraId="5640E0BE" w14:textId="5CD2F8FA" w:rsidTr="00245604">
        <w:tc>
          <w:tcPr>
            <w:tcW w:w="1555" w:type="dxa"/>
          </w:tcPr>
          <w:p w14:paraId="53405E3A" w14:textId="05F0AA43" w:rsidR="00B8474F" w:rsidRPr="00245604" w:rsidRDefault="00B8474F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Calibro</w:t>
            </w:r>
          </w:p>
        </w:tc>
        <w:tc>
          <w:tcPr>
            <w:tcW w:w="1123" w:type="dxa"/>
          </w:tcPr>
          <w:p w14:paraId="676BCBBB" w14:textId="76F32843" w:rsidR="00B8474F" w:rsidRPr="00245604" w:rsidRDefault="00B8474F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–8°C</w:t>
            </w:r>
          </w:p>
        </w:tc>
        <w:tc>
          <w:tcPr>
            <w:tcW w:w="994" w:type="dxa"/>
          </w:tcPr>
          <w:p w14:paraId="2D73BE05" w14:textId="76913928" w:rsidR="00B8474F" w:rsidRPr="00245604" w:rsidRDefault="00B8474F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+21°C</w:t>
            </w:r>
          </w:p>
        </w:tc>
        <w:tc>
          <w:tcPr>
            <w:tcW w:w="994" w:type="dxa"/>
          </w:tcPr>
          <w:p w14:paraId="4C4D8DAC" w14:textId="3A3ED9B9" w:rsidR="00B8474F" w:rsidRPr="00245604" w:rsidRDefault="00B8474F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+40°C</w:t>
            </w:r>
          </w:p>
        </w:tc>
        <w:tc>
          <w:tcPr>
            <w:tcW w:w="1936" w:type="dxa"/>
          </w:tcPr>
          <w:p w14:paraId="64EF2E83" w14:textId="65A470EA" w:rsidR="00B8474F" w:rsidRPr="00245604" w:rsidRDefault="008E6BB0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Attività</w:t>
            </w:r>
          </w:p>
        </w:tc>
        <w:tc>
          <w:tcPr>
            <w:tcW w:w="1898" w:type="dxa"/>
          </w:tcPr>
          <w:p w14:paraId="24A6770C" w14:textId="66C60313" w:rsidR="00B8474F" w:rsidRPr="00B8474F" w:rsidRDefault="008E6BB0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Note</w:t>
            </w:r>
          </w:p>
        </w:tc>
      </w:tr>
      <w:tr w:rsidR="00B41F0E" w14:paraId="76355462" w14:textId="2131D43D" w:rsidTr="00245604">
        <w:trPr>
          <w:trHeight w:val="3930"/>
        </w:trPr>
        <w:tc>
          <w:tcPr>
            <w:tcW w:w="1555" w:type="dxa"/>
          </w:tcPr>
          <w:p w14:paraId="5A50F00E" w14:textId="633B11C4" w:rsidR="00B41F0E" w:rsidRPr="00245604" w:rsidRDefault="00B41F0E" w:rsidP="00B41F0E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5,56 mm nastrato n</w:t>
            </w:r>
            <w:r w:rsidR="00245604"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el numero previsto dal piano di </w:t>
            </w: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campionamento</w:t>
            </w:r>
          </w:p>
          <w:p w14:paraId="1D0FD790" w14:textId="3008BD3F" w:rsidR="00B41F0E" w:rsidRPr="00245604" w:rsidRDefault="00B41F0E" w:rsidP="00B8474F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23" w:type="dxa"/>
          </w:tcPr>
          <w:p w14:paraId="03CD6CAF" w14:textId="0C6B2DEB" w:rsidR="00B41F0E" w:rsidRPr="00245604" w:rsidRDefault="00B41F0E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994" w:type="dxa"/>
          </w:tcPr>
          <w:p w14:paraId="7ACF1FFB" w14:textId="3FFEAB4C" w:rsidR="00B41F0E" w:rsidRPr="00245604" w:rsidRDefault="00245604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994" w:type="dxa"/>
          </w:tcPr>
          <w:p w14:paraId="770AD90A" w14:textId="65A60881" w:rsidR="00B41F0E" w:rsidRPr="00245604" w:rsidRDefault="00245604" w:rsidP="007B26F6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1936" w:type="dxa"/>
          </w:tcPr>
          <w:p w14:paraId="74C152D4" w14:textId="7B585D70" w:rsidR="00B41F0E" w:rsidRPr="00245604" w:rsidRDefault="00B41F0E" w:rsidP="00EB533B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Verificare i difetti di funzionamento sparando </w:t>
            </w:r>
            <w:r w:rsidR="00571AC1"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in brevi raffiche tirando </w:t>
            </w: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almeno 25 colpi contro un bersaglio di</w:t>
            </w:r>
            <w:r w:rsidR="00D2465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compensato di spessore pari a 10</w:t>
            </w: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mm alla distanza di cui al punto 2 con inclinazione di 0° NATO. Il bersaglio non dovrà essere perforato</w:t>
            </w:r>
            <w:r w:rsidR="00A46E9E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  <w:p w14:paraId="711AC18A" w14:textId="6BC8CFAC" w:rsidR="00B41F0E" w:rsidRPr="00245604" w:rsidRDefault="00B41F0E" w:rsidP="00683EAD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8" w:type="dxa"/>
          </w:tcPr>
          <w:p w14:paraId="0FA7E993" w14:textId="739E0406" w:rsidR="00B41F0E" w:rsidRPr="00B8474F" w:rsidRDefault="00B41F0E" w:rsidP="001A1046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FN MINIMI</w:t>
            </w:r>
            <w:r w:rsidRPr="00B8474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provviste dei kit di conversione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SIMUNITION FX già in dotazione. </w:t>
            </w:r>
            <w:r w:rsidR="001A1046">
              <w:rPr>
                <w:rFonts w:ascii="Times New Roman" w:eastAsia="Times New Roman" w:hAnsi="Times New Roman" w:cs="Times New Roman"/>
                <w:sz w:val="20"/>
                <w:szCs w:val="24"/>
              </w:rPr>
              <w:t>Privilegiare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 colpi alla UFT per la prova di perforazione</w:t>
            </w:r>
          </w:p>
        </w:tc>
      </w:tr>
      <w:tr w:rsidR="0012164D" w14:paraId="06FDEA73" w14:textId="77777777" w:rsidTr="00245604">
        <w:trPr>
          <w:trHeight w:val="1552"/>
        </w:trPr>
        <w:tc>
          <w:tcPr>
            <w:tcW w:w="1555" w:type="dxa"/>
          </w:tcPr>
          <w:p w14:paraId="2D0D637F" w14:textId="52BD7DA4" w:rsidR="0012164D" w:rsidRPr="00245604" w:rsidRDefault="0012164D" w:rsidP="008F4144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5,56 mm </w:t>
            </w:r>
            <w:r w:rsidR="008F4144">
              <w:rPr>
                <w:rFonts w:ascii="Times New Roman" w:eastAsia="Times New Roman" w:hAnsi="Times New Roman" w:cs="Times New Roman"/>
                <w:sz w:val="20"/>
                <w:szCs w:val="24"/>
              </w:rPr>
              <w:t>sciolto</w:t>
            </w: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nel numero previsto dal piano di campionamento</w:t>
            </w:r>
          </w:p>
        </w:tc>
        <w:tc>
          <w:tcPr>
            <w:tcW w:w="1123" w:type="dxa"/>
          </w:tcPr>
          <w:p w14:paraId="75AECAE3" w14:textId="1A304102" w:rsidR="0012164D" w:rsidRPr="00245604" w:rsidRDefault="0012164D" w:rsidP="0012164D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994" w:type="dxa"/>
          </w:tcPr>
          <w:p w14:paraId="4DAA58CE" w14:textId="483AA1EC" w:rsidR="0012164D" w:rsidRPr="00245604" w:rsidRDefault="0012164D" w:rsidP="0012164D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994" w:type="dxa"/>
          </w:tcPr>
          <w:p w14:paraId="1B1DB7DF" w14:textId="0C62BD6B" w:rsidR="0012164D" w:rsidRPr="00245604" w:rsidRDefault="0012164D" w:rsidP="0012164D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1936" w:type="dxa"/>
          </w:tcPr>
          <w:p w14:paraId="5E23A21A" w14:textId="77EBE664" w:rsidR="0012164D" w:rsidRPr="00245604" w:rsidRDefault="00245604" w:rsidP="0012164D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Verificare i difetti di funzionamento sparando almeno 25 colpi contro un bersaglio di</w:t>
            </w:r>
            <w:r w:rsidR="00D2465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compensato di spessore pari a 10</w:t>
            </w: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mm alla distanza di cui al punto 2 con inclinazione di 0° NATO. Il bersaglio non dovrà essere perforato</w:t>
            </w:r>
            <w:r w:rsidR="00A46E9E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898" w:type="dxa"/>
          </w:tcPr>
          <w:p w14:paraId="180EB336" w14:textId="016C94B5" w:rsidR="0012164D" w:rsidRDefault="001A3EBF" w:rsidP="001A3EBF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ARX 160 </w:t>
            </w:r>
            <w:r w:rsidRPr="00B8474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provviste dei kit di conversione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SIMUNITION FX già in dotazione. Privilegiare i colpi alla UFT per la prova di perforazione.</w:t>
            </w:r>
          </w:p>
        </w:tc>
      </w:tr>
      <w:tr w:rsidR="00D24654" w14:paraId="1FF3FABC" w14:textId="58D7237F" w:rsidTr="001A1046">
        <w:trPr>
          <w:trHeight w:val="4180"/>
        </w:trPr>
        <w:tc>
          <w:tcPr>
            <w:tcW w:w="1555" w:type="dxa"/>
          </w:tcPr>
          <w:p w14:paraId="11FAAA06" w14:textId="4F144394" w:rsidR="00D24654" w:rsidRPr="0024560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9 mm nel numero previsto dal piano di campionamento </w:t>
            </w:r>
          </w:p>
        </w:tc>
        <w:tc>
          <w:tcPr>
            <w:tcW w:w="1123" w:type="dxa"/>
          </w:tcPr>
          <w:p w14:paraId="58596937" w14:textId="740A7068" w:rsidR="00D24654" w:rsidRPr="0024560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994" w:type="dxa"/>
          </w:tcPr>
          <w:p w14:paraId="7926564B" w14:textId="10CBC65F" w:rsidR="00D24654" w:rsidRPr="0024560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994" w:type="dxa"/>
          </w:tcPr>
          <w:p w14:paraId="4EC969FD" w14:textId="4D8B3120" w:rsidR="00D24654" w:rsidRPr="0024560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ca 1/3 del campione prelevato</w:t>
            </w:r>
          </w:p>
        </w:tc>
        <w:tc>
          <w:tcPr>
            <w:tcW w:w="1936" w:type="dxa"/>
          </w:tcPr>
          <w:p w14:paraId="29BD0CF4" w14:textId="7606D637" w:rsidR="00D24654" w:rsidRPr="00245604" w:rsidRDefault="00D24654" w:rsidP="00D24654">
            <w:pPr>
              <w:tabs>
                <w:tab w:val="left" w:pos="284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>Verificare i difetti di funzionamento sparando almeno 25 colpi contro un bersaglio di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compensato di spessore pari a 10</w:t>
            </w:r>
            <w:r w:rsidRPr="002456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mm alla distanza di cui al punto 2 con inclinazione di 0° NATO. Il bersaglio non dovrà essere perforato</w:t>
            </w:r>
            <w:r w:rsidR="00A46E9E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  <w:p w14:paraId="0482EA2A" w14:textId="6953476E" w:rsidR="00D24654" w:rsidRPr="0024560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8" w:type="dxa"/>
          </w:tcPr>
          <w:p w14:paraId="45F16223" w14:textId="77F1F4BA" w:rsidR="00D2465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Fornitura SME: utilizzare la Beretta 92FS provvista</w:t>
            </w:r>
            <w:r w:rsidRPr="00B8474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dei kit d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i conversione SIMUNITION già in dotazione.</w:t>
            </w:r>
          </w:p>
          <w:p w14:paraId="31D64657" w14:textId="4D6E4941" w:rsidR="00D24654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Fornitura SMM: utilizzare entrambe le armi Beretta 92FS e HK MP5 </w:t>
            </w:r>
            <w:r w:rsidR="00712D1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A5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provviste sia</w:t>
            </w:r>
            <w:r w:rsidRPr="00B8474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dei kit d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i conversione già in dotazione SIMUNITION FX sia dei nuovi kit in acquisizione</w:t>
            </w:r>
            <w:r w:rsidR="00F72428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(suddividere il campione prelevato nelle varie combinazioni di sparo)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  <w:p w14:paraId="5079AE68" w14:textId="2641D0BB" w:rsidR="00D24654" w:rsidRPr="00B8474F" w:rsidRDefault="00D24654" w:rsidP="00D24654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6D51CBDD" w14:textId="77777777" w:rsidR="00A46E9E" w:rsidRDefault="00A46E9E" w:rsidP="005F344B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00F178" w14:textId="5212E495" w:rsidR="00A815B1" w:rsidRPr="00EF69D6" w:rsidRDefault="007D674A" w:rsidP="007D674A">
      <w:pPr>
        <w:numPr>
          <w:ilvl w:val="1"/>
          <w:numId w:val="21"/>
        </w:numPr>
        <w:tabs>
          <w:tab w:val="left" w:pos="284"/>
        </w:tabs>
        <w:spacing w:before="120" w:after="0" w:line="240" w:lineRule="auto"/>
        <w:ind w:left="1134"/>
        <w:jc w:val="both"/>
        <w:rPr>
          <w:bCs/>
          <w:sz w:val="24"/>
        </w:rPr>
      </w:pPr>
      <w:r w:rsidRPr="00EF69D6">
        <w:rPr>
          <w:rFonts w:ascii="Times New Roman" w:hAnsi="Times New Roman" w:cs="Times New Roman"/>
          <w:bCs/>
          <w:sz w:val="24"/>
        </w:rPr>
        <w:t>Imballaggi</w:t>
      </w:r>
    </w:p>
    <w:p w14:paraId="50061995" w14:textId="77777777" w:rsidR="00A815B1" w:rsidRDefault="00A815B1" w:rsidP="00A815B1">
      <w:pPr>
        <w:pStyle w:val="Paragrafoelenco"/>
        <w:ind w:left="1134" w:right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5B1">
        <w:rPr>
          <w:rFonts w:ascii="Times New Roman" w:eastAsia="Times New Roman" w:hAnsi="Times New Roman" w:cs="Times New Roman"/>
          <w:sz w:val="24"/>
          <w:szCs w:val="24"/>
        </w:rPr>
        <w:t>Saranno tollerati soltanto difetti superficiali di lieve entità (screpolature, macchie e simili) nella misura massima del 2% riferita alla campionatura. In caso contrario il lotto sarà respinto e restituito alla Ditta per la revisione.</w:t>
      </w:r>
    </w:p>
    <w:p w14:paraId="14ED7924" w14:textId="5EBF97E7" w:rsidR="0046579E" w:rsidRPr="00A815B1" w:rsidRDefault="00381454" w:rsidP="00A815B1">
      <w:pPr>
        <w:pStyle w:val="Paragrafoelenco"/>
        <w:ind w:left="1134" w:right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L’etichettatura sarà a cura del produttore</w:t>
      </w:r>
      <w:r w:rsidR="002E7A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238107" w14:textId="10563750" w:rsidR="00C24F82" w:rsidRPr="00EF69D6" w:rsidRDefault="00EF69D6" w:rsidP="007D674A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284" w:firstLine="0"/>
        <w:jc w:val="both"/>
        <w:rPr>
          <w:b/>
          <w:bCs/>
          <w:sz w:val="24"/>
        </w:rPr>
      </w:pPr>
      <w:r w:rsidRPr="007D674A">
        <w:rPr>
          <w:rFonts w:ascii="Times New Roman" w:hAnsi="Times New Roman" w:cs="Times New Roman"/>
          <w:b/>
          <w:bCs/>
          <w:sz w:val="24"/>
        </w:rPr>
        <w:t>NORME PER LA VERIFICA DI CONFOMITÀ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C24F82" w:rsidRPr="00EF69D6">
        <w:rPr>
          <w:rFonts w:ascii="Times New Roman" w:hAnsi="Times New Roman" w:cs="Times New Roman"/>
          <w:b/>
          <w:bCs/>
          <w:sz w:val="24"/>
        </w:rPr>
        <w:t>KIT DI CONVERSIONE</w:t>
      </w:r>
    </w:p>
    <w:p w14:paraId="6856B7FA" w14:textId="1AFD2F56" w:rsidR="00C24F82" w:rsidRDefault="00381454" w:rsidP="00C24F82">
      <w:pPr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kit di conversione (una unità</w:t>
      </w:r>
      <w:r w:rsidR="00C24F82">
        <w:rPr>
          <w:rFonts w:ascii="Times New Roman" w:eastAsia="Times New Roman" w:hAnsi="Times New Roman" w:cs="Times New Roman"/>
          <w:sz w:val="24"/>
          <w:szCs w:val="24"/>
        </w:rPr>
        <w:t xml:space="preserve"> per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pistola 92FS e una unità per HK MP5</w:t>
      </w:r>
      <w:r w:rsidR="00712D10">
        <w:rPr>
          <w:rFonts w:ascii="Times New Roman" w:eastAsia="Times New Roman" w:hAnsi="Times New Roman" w:cs="Times New Roman"/>
          <w:sz w:val="24"/>
          <w:szCs w:val="24"/>
        </w:rPr>
        <w:t xml:space="preserve"> A5</w:t>
      </w:r>
      <w:r w:rsidR="00C24F82">
        <w:rPr>
          <w:rFonts w:ascii="Times New Roman" w:eastAsia="Times New Roman" w:hAnsi="Times New Roman" w:cs="Times New Roman"/>
          <w:sz w:val="24"/>
          <w:szCs w:val="24"/>
        </w:rPr>
        <w:t xml:space="preserve">) saranno utilizzati per le prove di cui al punto precedente (solo </w:t>
      </w:r>
      <w:r>
        <w:rPr>
          <w:rFonts w:ascii="Times New Roman" w:eastAsia="Times New Roman" w:hAnsi="Times New Roman" w:cs="Times New Roman"/>
          <w:sz w:val="24"/>
          <w:szCs w:val="24"/>
        </w:rPr>
        <w:t>fornitura SMM</w:t>
      </w:r>
      <w:r w:rsidR="00C24F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8929E19" w14:textId="2546F4CB" w:rsidR="00C24F82" w:rsidRPr="00C24F82" w:rsidRDefault="00C24F82" w:rsidP="00C24F82">
      <w:pPr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Sarà inoltre verificata l</w:t>
      </w:r>
      <w:r w:rsidR="008F4144">
        <w:rPr>
          <w:rFonts w:ascii="Times New Roman" w:eastAsia="Times New Roman" w:hAnsi="Times New Roman" w:cs="Times New Roman"/>
          <w:sz w:val="24"/>
          <w:szCs w:val="24"/>
        </w:rPr>
        <w:t xml:space="preserve">’impossibilità di </w:t>
      </w:r>
      <w:r>
        <w:rPr>
          <w:rFonts w:ascii="Times New Roman" w:eastAsia="Times New Roman" w:hAnsi="Times New Roman" w:cs="Times New Roman"/>
          <w:sz w:val="24"/>
          <w:szCs w:val="24"/>
        </w:rPr>
        <w:t>sparo di una cartuccia ordinaria.</w:t>
      </w:r>
    </w:p>
    <w:p w14:paraId="3271E806" w14:textId="77777777" w:rsidR="00B9259F" w:rsidRDefault="00B9259F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sectPr w:rsidR="00B9259F">
      <w:footerReference w:type="default" r:id="rId8"/>
      <w:pgSz w:w="11920" w:h="16838"/>
      <w:pgMar w:top="851" w:right="1430" w:bottom="1134" w:left="1134" w:header="0" w:footer="72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C753C" w14:textId="77777777" w:rsidR="00FF2DA6" w:rsidRDefault="00FF2DA6">
      <w:pPr>
        <w:spacing w:after="0" w:line="240" w:lineRule="auto"/>
      </w:pPr>
      <w:r>
        <w:separator/>
      </w:r>
    </w:p>
  </w:endnote>
  <w:endnote w:type="continuationSeparator" w:id="0">
    <w:p w14:paraId="2B05159D" w14:textId="77777777" w:rsidR="00FF2DA6" w:rsidRDefault="00FF2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3" w:usb1="00000000" w:usb2="00000000" w:usb3="00000000" w:csb0="00000001" w:csb1="00000000"/>
  </w:font>
  <w:font w:name="PingFang SC">
    <w:charset w:val="01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2373C" w14:textId="696452B9" w:rsidR="00C76CFA" w:rsidRPr="00C76CFA" w:rsidRDefault="00C76CFA">
    <w:pPr>
      <w:pStyle w:val="Pidipagina"/>
      <w:rPr>
        <w:sz w:val="18"/>
        <w:szCs w:val="18"/>
      </w:rPr>
    </w:pPr>
    <w:r w:rsidRPr="00C76CFA">
      <w:rPr>
        <w:sz w:val="18"/>
        <w:szCs w:val="18"/>
      </w:rPr>
      <w:tab/>
    </w:r>
    <w:r w:rsidRPr="00C76CFA">
      <w:rPr>
        <w:sz w:val="18"/>
        <w:szCs w:val="18"/>
      </w:rPr>
      <w:tab/>
      <w:t xml:space="preserve">Pag.: </w:t>
    </w:r>
    <w:r w:rsidRPr="00C76CFA">
      <w:rPr>
        <w:sz w:val="18"/>
        <w:szCs w:val="18"/>
      </w:rPr>
      <w:fldChar w:fldCharType="begin"/>
    </w:r>
    <w:r w:rsidRPr="00C76CFA">
      <w:rPr>
        <w:sz w:val="18"/>
        <w:szCs w:val="18"/>
      </w:rPr>
      <w:instrText xml:space="preserve"> PAGE   \* MERGEFORMAT </w:instrText>
    </w:r>
    <w:r w:rsidRPr="00C76CFA">
      <w:rPr>
        <w:sz w:val="18"/>
        <w:szCs w:val="18"/>
      </w:rPr>
      <w:fldChar w:fldCharType="separate"/>
    </w:r>
    <w:r w:rsidR="00430AA6">
      <w:rPr>
        <w:noProof/>
        <w:sz w:val="18"/>
        <w:szCs w:val="18"/>
      </w:rPr>
      <w:t>6</w:t>
    </w:r>
    <w:r w:rsidRPr="00C76CFA">
      <w:rPr>
        <w:sz w:val="18"/>
        <w:szCs w:val="18"/>
      </w:rPr>
      <w:fldChar w:fldCharType="end"/>
    </w:r>
    <w:r w:rsidRPr="00C76CFA">
      <w:rPr>
        <w:sz w:val="18"/>
        <w:szCs w:val="18"/>
      </w:rPr>
      <w:t>/</w:t>
    </w:r>
    <w:r w:rsidRPr="00C76CFA">
      <w:rPr>
        <w:sz w:val="18"/>
        <w:szCs w:val="18"/>
      </w:rPr>
      <w:fldChar w:fldCharType="begin"/>
    </w:r>
    <w:r w:rsidRPr="00C76CFA">
      <w:rPr>
        <w:sz w:val="18"/>
        <w:szCs w:val="18"/>
      </w:rPr>
      <w:instrText xml:space="preserve"> NUMPAGES   \* MERGEFORMAT </w:instrText>
    </w:r>
    <w:r w:rsidRPr="00C76CFA">
      <w:rPr>
        <w:sz w:val="18"/>
        <w:szCs w:val="18"/>
      </w:rPr>
      <w:fldChar w:fldCharType="separate"/>
    </w:r>
    <w:r w:rsidR="00430AA6">
      <w:rPr>
        <w:noProof/>
        <w:sz w:val="18"/>
        <w:szCs w:val="18"/>
      </w:rPr>
      <w:t>6</w:t>
    </w:r>
    <w:r w:rsidRPr="00C76CF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D94F1" w14:textId="77777777" w:rsidR="00FF2DA6" w:rsidRDefault="00FF2DA6">
      <w:pPr>
        <w:spacing w:after="0" w:line="240" w:lineRule="auto"/>
      </w:pPr>
      <w:r>
        <w:separator/>
      </w:r>
    </w:p>
  </w:footnote>
  <w:footnote w:type="continuationSeparator" w:id="0">
    <w:p w14:paraId="6DA16733" w14:textId="77777777" w:rsidR="00FF2DA6" w:rsidRDefault="00FF2DA6">
      <w:pPr>
        <w:spacing w:after="0" w:line="240" w:lineRule="auto"/>
      </w:pPr>
      <w:r>
        <w:continuationSeparator/>
      </w:r>
    </w:p>
  </w:footnote>
  <w:footnote w:id="1">
    <w:p w14:paraId="01DB3935" w14:textId="77777777" w:rsidR="007D674A" w:rsidRDefault="007D674A" w:rsidP="007D674A">
      <w:pPr>
        <w:pStyle w:val="Testonotaapidipagina"/>
      </w:pPr>
      <w:r>
        <w:rPr>
          <w:rStyle w:val="Rimandonotaapidipagina"/>
        </w:rPr>
        <w:footnoteRef/>
      </w:r>
      <w:r>
        <w:t xml:space="preserve"> Adempimento degli obblighi in materia di protezione della salute umana e dell’ambiente Regolamento CE n. 1907 del Parlamento Europeo e del Consiglio del 18/12/2006 (REACH). Vds. lettera prot. n. M_D GSGDNA REG 2017 0087465 in data 29/11/2017.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3C5"/>
    <w:multiLevelType w:val="multilevel"/>
    <w:tmpl w:val="EAC65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5A6AE6"/>
    <w:multiLevelType w:val="hybridMultilevel"/>
    <w:tmpl w:val="D53032F0"/>
    <w:lvl w:ilvl="0" w:tplc="C7080996">
      <w:numFmt w:val="bullet"/>
      <w:lvlText w:val="-"/>
      <w:lvlJc w:val="left"/>
      <w:pPr>
        <w:ind w:left="71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7154E27"/>
    <w:multiLevelType w:val="multilevel"/>
    <w:tmpl w:val="C948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C1E91"/>
    <w:multiLevelType w:val="multilevel"/>
    <w:tmpl w:val="EAC65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7C294A"/>
    <w:multiLevelType w:val="multilevel"/>
    <w:tmpl w:val="62B64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22313"/>
    <w:multiLevelType w:val="hybridMultilevel"/>
    <w:tmpl w:val="B05644E0"/>
    <w:lvl w:ilvl="0" w:tplc="C70809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E0F25"/>
    <w:multiLevelType w:val="hybridMultilevel"/>
    <w:tmpl w:val="37CE288A"/>
    <w:lvl w:ilvl="0" w:tplc="C70809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4B2FFC"/>
    <w:multiLevelType w:val="multilevel"/>
    <w:tmpl w:val="E09A1E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692969"/>
    <w:multiLevelType w:val="multilevel"/>
    <w:tmpl w:val="B462A0AE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A77477"/>
    <w:multiLevelType w:val="multilevel"/>
    <w:tmpl w:val="8EBE9D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986767"/>
    <w:multiLevelType w:val="multilevel"/>
    <w:tmpl w:val="D2D01B7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129750A"/>
    <w:multiLevelType w:val="hybridMultilevel"/>
    <w:tmpl w:val="B54A74DC"/>
    <w:lvl w:ilvl="0" w:tplc="C70809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C7080996"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8C0E4F"/>
    <w:multiLevelType w:val="multilevel"/>
    <w:tmpl w:val="F9D04B68"/>
    <w:lvl w:ilvl="0">
      <w:start w:val="3"/>
      <w:numFmt w:val="decimal"/>
      <w:lvlText w:val="%1."/>
      <w:lvlJc w:val="left"/>
      <w:pPr>
        <w:tabs>
          <w:tab w:val="num" w:pos="0"/>
        </w:tabs>
        <w:ind w:left="930" w:hanging="570"/>
      </w:pPr>
      <w:rPr>
        <w:rFonts w:ascii="Times New Roman" w:hAnsi="Times New Roman" w:cs="Times New Roman" w:hint="cs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4C4366E7"/>
    <w:multiLevelType w:val="hybridMultilevel"/>
    <w:tmpl w:val="A4A24B0C"/>
    <w:lvl w:ilvl="0" w:tplc="0410000B">
      <w:start w:val="1"/>
      <w:numFmt w:val="bullet"/>
      <w:lvlText w:val=""/>
      <w:lvlJc w:val="left"/>
      <w:pPr>
        <w:ind w:left="6314" w:hanging="360"/>
      </w:pPr>
      <w:rPr>
        <w:rFonts w:ascii="Wingdings" w:hAnsi="Wingdings" w:hint="default"/>
      </w:rPr>
    </w:lvl>
    <w:lvl w:ilvl="1" w:tplc="6E58A9B4">
      <w:numFmt w:val="bullet"/>
      <w:lvlText w:val="-"/>
      <w:lvlJc w:val="left"/>
      <w:pPr>
        <w:ind w:left="1868" w:hanging="360"/>
      </w:pPr>
      <w:rPr>
        <w:rFonts w:ascii="Calibri" w:eastAsiaTheme="minorHAnsi" w:hAnsi="Calibri" w:cstheme="minorBidi" w:hint="default"/>
      </w:rPr>
    </w:lvl>
    <w:lvl w:ilvl="2" w:tplc="6E58A9B4">
      <w:numFmt w:val="bullet"/>
      <w:lvlText w:val="-"/>
      <w:lvlJc w:val="left"/>
      <w:pPr>
        <w:ind w:left="2588" w:hanging="360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4" w15:restartNumberingAfterBreak="0">
    <w:nsid w:val="4D894527"/>
    <w:multiLevelType w:val="hybridMultilevel"/>
    <w:tmpl w:val="5F825C6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BA3856"/>
    <w:multiLevelType w:val="multilevel"/>
    <w:tmpl w:val="0708378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1890E9F"/>
    <w:multiLevelType w:val="hybridMultilevel"/>
    <w:tmpl w:val="1DB6592A"/>
    <w:lvl w:ilvl="0" w:tplc="6E58A9B4">
      <w:numFmt w:val="bullet"/>
      <w:lvlText w:val="-"/>
      <w:lvlJc w:val="left"/>
      <w:pPr>
        <w:ind w:left="1154" w:hanging="360"/>
      </w:pPr>
      <w:rPr>
        <w:rFonts w:ascii="Calibri" w:eastAsiaTheme="minorHAnsi" w:hAnsi="Calibri" w:cstheme="minorBidi" w:hint="default"/>
      </w:rPr>
    </w:lvl>
    <w:lvl w:ilvl="1" w:tplc="6E58A9B4">
      <w:numFmt w:val="bullet"/>
      <w:lvlText w:val="-"/>
      <w:lvlJc w:val="left"/>
      <w:pPr>
        <w:ind w:left="187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7" w15:restartNumberingAfterBreak="0">
    <w:nsid w:val="66BA298C"/>
    <w:multiLevelType w:val="hybridMultilevel"/>
    <w:tmpl w:val="1554AFEE"/>
    <w:lvl w:ilvl="0" w:tplc="C928916E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7294FEE"/>
    <w:multiLevelType w:val="multilevel"/>
    <w:tmpl w:val="4BA69870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881935"/>
    <w:multiLevelType w:val="multilevel"/>
    <w:tmpl w:val="9DCC2B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6F32A91"/>
    <w:multiLevelType w:val="multilevel"/>
    <w:tmpl w:val="60DA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5"/>
  </w:num>
  <w:num w:numId="5">
    <w:abstractNumId w:val="6"/>
  </w:num>
  <w:num w:numId="6">
    <w:abstractNumId w:val="15"/>
  </w:num>
  <w:num w:numId="7">
    <w:abstractNumId w:val="2"/>
  </w:num>
  <w:num w:numId="8">
    <w:abstractNumId w:val="20"/>
  </w:num>
  <w:num w:numId="9">
    <w:abstractNumId w:val="4"/>
  </w:num>
  <w:num w:numId="10">
    <w:abstractNumId w:val="17"/>
  </w:num>
  <w:num w:numId="11">
    <w:abstractNumId w:val="0"/>
  </w:num>
  <w:num w:numId="12">
    <w:abstractNumId w:val="16"/>
  </w:num>
  <w:num w:numId="13">
    <w:abstractNumId w:val="3"/>
  </w:num>
  <w:num w:numId="14">
    <w:abstractNumId w:val="9"/>
  </w:num>
  <w:num w:numId="15">
    <w:abstractNumId w:val="10"/>
  </w:num>
  <w:num w:numId="16">
    <w:abstractNumId w:val="13"/>
  </w:num>
  <w:num w:numId="17">
    <w:abstractNumId w:val="14"/>
  </w:num>
  <w:num w:numId="18">
    <w:abstractNumId w:val="11"/>
  </w:num>
  <w:num w:numId="19">
    <w:abstractNumId w:val="1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D1"/>
    <w:rsid w:val="000221E1"/>
    <w:rsid w:val="00022B3E"/>
    <w:rsid w:val="00076C60"/>
    <w:rsid w:val="000B26A9"/>
    <w:rsid w:val="000C36DA"/>
    <w:rsid w:val="000D034F"/>
    <w:rsid w:val="000D5B12"/>
    <w:rsid w:val="000E319F"/>
    <w:rsid w:val="000E6773"/>
    <w:rsid w:val="0012164D"/>
    <w:rsid w:val="00131B26"/>
    <w:rsid w:val="00142C31"/>
    <w:rsid w:val="00152FCC"/>
    <w:rsid w:val="00181429"/>
    <w:rsid w:val="0018298F"/>
    <w:rsid w:val="001A1046"/>
    <w:rsid w:val="001A3EBF"/>
    <w:rsid w:val="001B092D"/>
    <w:rsid w:val="001D4175"/>
    <w:rsid w:val="001E6128"/>
    <w:rsid w:val="001F4DE4"/>
    <w:rsid w:val="00201590"/>
    <w:rsid w:val="002034FC"/>
    <w:rsid w:val="00207A8F"/>
    <w:rsid w:val="00240522"/>
    <w:rsid w:val="00245604"/>
    <w:rsid w:val="0028776B"/>
    <w:rsid w:val="002B2A16"/>
    <w:rsid w:val="002E0C39"/>
    <w:rsid w:val="002E7A42"/>
    <w:rsid w:val="00305F8D"/>
    <w:rsid w:val="00314E84"/>
    <w:rsid w:val="0032271B"/>
    <w:rsid w:val="00335671"/>
    <w:rsid w:val="00346578"/>
    <w:rsid w:val="00375AB1"/>
    <w:rsid w:val="00381454"/>
    <w:rsid w:val="003B1834"/>
    <w:rsid w:val="003D678B"/>
    <w:rsid w:val="003E78B0"/>
    <w:rsid w:val="00402B2F"/>
    <w:rsid w:val="00430AA6"/>
    <w:rsid w:val="00433768"/>
    <w:rsid w:val="00440ABD"/>
    <w:rsid w:val="00462FFA"/>
    <w:rsid w:val="0046579E"/>
    <w:rsid w:val="00470ED4"/>
    <w:rsid w:val="004B757F"/>
    <w:rsid w:val="005162BD"/>
    <w:rsid w:val="00543060"/>
    <w:rsid w:val="00563827"/>
    <w:rsid w:val="00571860"/>
    <w:rsid w:val="00571AC1"/>
    <w:rsid w:val="005B5290"/>
    <w:rsid w:val="005C1644"/>
    <w:rsid w:val="005F344B"/>
    <w:rsid w:val="005F47EC"/>
    <w:rsid w:val="005F6A95"/>
    <w:rsid w:val="005F7060"/>
    <w:rsid w:val="006239ED"/>
    <w:rsid w:val="0065367C"/>
    <w:rsid w:val="00654420"/>
    <w:rsid w:val="00675120"/>
    <w:rsid w:val="00676EE5"/>
    <w:rsid w:val="00683EAD"/>
    <w:rsid w:val="0069304A"/>
    <w:rsid w:val="006D63F4"/>
    <w:rsid w:val="006E20A3"/>
    <w:rsid w:val="006E3318"/>
    <w:rsid w:val="00712D10"/>
    <w:rsid w:val="00720BCA"/>
    <w:rsid w:val="00730495"/>
    <w:rsid w:val="00761FDA"/>
    <w:rsid w:val="00770D33"/>
    <w:rsid w:val="00780045"/>
    <w:rsid w:val="007866DF"/>
    <w:rsid w:val="007A030C"/>
    <w:rsid w:val="007A27DD"/>
    <w:rsid w:val="007A3CC1"/>
    <w:rsid w:val="007A3D5C"/>
    <w:rsid w:val="007A546F"/>
    <w:rsid w:val="007B26F6"/>
    <w:rsid w:val="007B3425"/>
    <w:rsid w:val="007C194B"/>
    <w:rsid w:val="007C236B"/>
    <w:rsid w:val="007D674A"/>
    <w:rsid w:val="00801097"/>
    <w:rsid w:val="008519B6"/>
    <w:rsid w:val="0086392E"/>
    <w:rsid w:val="0089102B"/>
    <w:rsid w:val="008B721D"/>
    <w:rsid w:val="008C59D1"/>
    <w:rsid w:val="008E6BB0"/>
    <w:rsid w:val="008F4144"/>
    <w:rsid w:val="009165F1"/>
    <w:rsid w:val="00953A43"/>
    <w:rsid w:val="00972512"/>
    <w:rsid w:val="009C04F2"/>
    <w:rsid w:val="009C51A9"/>
    <w:rsid w:val="00A05C6C"/>
    <w:rsid w:val="00A14309"/>
    <w:rsid w:val="00A46E9E"/>
    <w:rsid w:val="00A815B1"/>
    <w:rsid w:val="00AB1777"/>
    <w:rsid w:val="00AC3171"/>
    <w:rsid w:val="00AE3D3E"/>
    <w:rsid w:val="00B13169"/>
    <w:rsid w:val="00B24A9A"/>
    <w:rsid w:val="00B41F0E"/>
    <w:rsid w:val="00B54091"/>
    <w:rsid w:val="00B55B88"/>
    <w:rsid w:val="00B64A1E"/>
    <w:rsid w:val="00B8474F"/>
    <w:rsid w:val="00B9259F"/>
    <w:rsid w:val="00B93971"/>
    <w:rsid w:val="00BD02F2"/>
    <w:rsid w:val="00C000F5"/>
    <w:rsid w:val="00C24F82"/>
    <w:rsid w:val="00C531B9"/>
    <w:rsid w:val="00C5454B"/>
    <w:rsid w:val="00C7339C"/>
    <w:rsid w:val="00C75E36"/>
    <w:rsid w:val="00C76CFA"/>
    <w:rsid w:val="00C8399F"/>
    <w:rsid w:val="00CF785C"/>
    <w:rsid w:val="00D24654"/>
    <w:rsid w:val="00D46AC9"/>
    <w:rsid w:val="00D47380"/>
    <w:rsid w:val="00D54255"/>
    <w:rsid w:val="00DB7F92"/>
    <w:rsid w:val="00DC16A9"/>
    <w:rsid w:val="00DD437E"/>
    <w:rsid w:val="00DE7253"/>
    <w:rsid w:val="00E45064"/>
    <w:rsid w:val="00E53BBA"/>
    <w:rsid w:val="00EB533B"/>
    <w:rsid w:val="00EC3E82"/>
    <w:rsid w:val="00EF69D6"/>
    <w:rsid w:val="00F0155D"/>
    <w:rsid w:val="00F24AE6"/>
    <w:rsid w:val="00F26305"/>
    <w:rsid w:val="00F302C1"/>
    <w:rsid w:val="00F417FD"/>
    <w:rsid w:val="00F72428"/>
    <w:rsid w:val="00F804F1"/>
    <w:rsid w:val="00FB66C1"/>
    <w:rsid w:val="00FF2DA6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5275"/>
  <w15:docId w15:val="{D56931D8-5E9D-2F4C-8193-6C1522B9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02D2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sid w:val="00D11D9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A43DA"/>
    <w:rPr>
      <w:rFonts w:cs="Times New Roman"/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E4A7A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E4A7A"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11D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BC"/>
    <w:pPr>
      <w:ind w:left="720"/>
      <w:contextualSpacing/>
    </w:pPr>
  </w:style>
  <w:style w:type="paragraph" w:customStyle="1" w:styleId="Default">
    <w:name w:val="Default"/>
    <w:qFormat/>
    <w:rsid w:val="00F57E00"/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E4A7A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E4A7A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approvazione">
    <w:name w:val="approvazione"/>
    <w:basedOn w:val="Normale"/>
    <w:qFormat/>
    <w:rsid w:val="001F11DB"/>
    <w:pPr>
      <w:spacing w:before="240"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ormaleWeb">
    <w:name w:val="Normal (Web)"/>
    <w:basedOn w:val="Normale"/>
    <w:uiPriority w:val="99"/>
    <w:unhideWhenUsed/>
    <w:rsid w:val="00DC16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delblocco">
    <w:name w:val="Block Text"/>
    <w:basedOn w:val="Normale"/>
    <w:rsid w:val="007B26F6"/>
    <w:pPr>
      <w:suppressAutoHyphens w:val="0"/>
      <w:spacing w:after="0" w:line="240" w:lineRule="auto"/>
      <w:ind w:left="720" w:right="278" w:hanging="436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5F3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674A"/>
    <w:pPr>
      <w:suppressAutoHyphens w:val="0"/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674A"/>
    <w:rPr>
      <w:rFonts w:eastAsiaTheme="minorHAnsi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67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7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6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D7D72-FBD8-4AE1-970E-EEEE19B9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Corrieri, Capo Sez. Ten.Col. Luca - TERRARM</dc:creator>
  <dc:description/>
  <cp:lastModifiedBy>Filippone, Magg. Stefano - TERRARM</cp:lastModifiedBy>
  <cp:revision>23</cp:revision>
  <cp:lastPrinted>2021-04-15T08:30:00Z</cp:lastPrinted>
  <dcterms:created xsi:type="dcterms:W3CDTF">2023-02-17T08:54:00Z</dcterms:created>
  <dcterms:modified xsi:type="dcterms:W3CDTF">2023-04-14T12:34:00Z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